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F6E40" w14:textId="77777777" w:rsidR="00C72E74" w:rsidRPr="009815E0" w:rsidRDefault="00C72E74" w:rsidP="00C72E74">
      <w:pPr>
        <w:spacing w:after="120"/>
      </w:pPr>
      <w:r>
        <w:t>Naczyk, Marek</w:t>
      </w:r>
    </w:p>
    <w:p w14:paraId="27655B7A" w14:textId="77777777" w:rsidR="00C72E74" w:rsidRPr="009815E0" w:rsidRDefault="00C72E74" w:rsidP="00C72E74">
      <w:pPr>
        <w:spacing w:after="120"/>
        <w:jc w:val="center"/>
        <w:rPr>
          <w:b/>
        </w:rPr>
      </w:pPr>
      <w:r w:rsidRPr="009815E0">
        <w:rPr>
          <w:b/>
        </w:rPr>
        <w:t>Taking back control: Comprador bankers and managerial developmentalism in Poland</w:t>
      </w:r>
    </w:p>
    <w:p w14:paraId="76732312" w14:textId="77777777" w:rsidR="00C72E74" w:rsidRPr="009815E0" w:rsidRDefault="00C72E74" w:rsidP="00C72E74">
      <w:pPr>
        <w:spacing w:after="120"/>
        <w:jc w:val="center"/>
        <w:rPr>
          <w:i/>
        </w:rPr>
      </w:pPr>
      <w:r w:rsidRPr="009815E0">
        <w:rPr>
          <w:i/>
        </w:rPr>
        <w:t>Review of International Political Economy</w:t>
      </w:r>
    </w:p>
    <w:p w14:paraId="18B6628D" w14:textId="77777777" w:rsidR="00C72E74" w:rsidRDefault="00C72E74" w:rsidP="00C72E74">
      <w:pPr>
        <w:pStyle w:val="TOC1"/>
        <w:tabs>
          <w:tab w:val="right" w:leader="dot" w:pos="8630"/>
        </w:tabs>
        <w:rPr>
          <w:rFonts w:ascii="Cambria" w:hAnsi="Cambria"/>
        </w:rPr>
      </w:pPr>
    </w:p>
    <w:p w14:paraId="0654FE26" w14:textId="43E9BE60" w:rsidR="006925D8" w:rsidRPr="00DB4F19" w:rsidRDefault="006925D8" w:rsidP="006925D8">
      <w:pPr>
        <w:pStyle w:val="TOC1"/>
        <w:tabs>
          <w:tab w:val="right" w:leader="dot" w:pos="8630"/>
        </w:tabs>
        <w:jc w:val="center"/>
        <w:rPr>
          <w:rFonts w:ascii="Cambria" w:hAnsi="Cambria"/>
          <w:u w:val="single"/>
        </w:rPr>
      </w:pPr>
      <w:r w:rsidRPr="00DB4F19">
        <w:rPr>
          <w:rFonts w:ascii="Cambria" w:hAnsi="Cambria"/>
          <w:u w:val="single"/>
        </w:rPr>
        <w:t>APPENDIX A.4.</w:t>
      </w:r>
    </w:p>
    <w:p w14:paraId="05A6A9F0" w14:textId="0023F534" w:rsidR="006925D8" w:rsidRPr="00DB4F19" w:rsidRDefault="006925D8" w:rsidP="006925D8">
      <w:pPr>
        <w:pStyle w:val="TOC1"/>
        <w:tabs>
          <w:tab w:val="right" w:leader="dot" w:pos="8630"/>
        </w:tabs>
        <w:jc w:val="center"/>
        <w:rPr>
          <w:rFonts w:ascii="Cambria" w:hAnsi="Cambria"/>
          <w:u w:val="single"/>
        </w:rPr>
      </w:pPr>
      <w:r w:rsidRPr="00DB4F19">
        <w:rPr>
          <w:rFonts w:ascii="Cambria" w:hAnsi="Cambria"/>
          <w:u w:val="single"/>
        </w:rPr>
        <w:t>Methodological approach: Process tracing</w:t>
      </w:r>
    </w:p>
    <w:p w14:paraId="3941C320" w14:textId="77777777" w:rsidR="00C05E9E" w:rsidRPr="00025F8B" w:rsidRDefault="00C05E9E">
      <w:pPr>
        <w:rPr>
          <w:rFonts w:ascii="Cambria" w:hAnsi="Cambria"/>
        </w:rPr>
      </w:pPr>
    </w:p>
    <w:p w14:paraId="5B030E31" w14:textId="77777777" w:rsidR="00763B0B" w:rsidRDefault="007030B9">
      <w:pPr>
        <w:pStyle w:val="TOC1"/>
        <w:tabs>
          <w:tab w:val="right" w:leader="dot" w:pos="8630"/>
        </w:tabs>
        <w:rPr>
          <w:b w:val="0"/>
          <w:noProof/>
          <w:lang w:eastAsia="ja-JP"/>
        </w:rPr>
      </w:pPr>
      <w:r w:rsidRPr="00025F8B">
        <w:rPr>
          <w:rFonts w:ascii="Cambria" w:hAnsi="Cambria"/>
        </w:rPr>
        <w:fldChar w:fldCharType="begin"/>
      </w:r>
      <w:r w:rsidRPr="00025F8B">
        <w:rPr>
          <w:rFonts w:ascii="Cambria" w:hAnsi="Cambria"/>
        </w:rPr>
        <w:instrText xml:space="preserve"> TOC \o "1-3" </w:instrText>
      </w:r>
      <w:r w:rsidRPr="00025F8B">
        <w:rPr>
          <w:rFonts w:ascii="Cambria" w:hAnsi="Cambria"/>
        </w:rPr>
        <w:fldChar w:fldCharType="separate"/>
      </w:r>
      <w:r w:rsidR="00763B0B" w:rsidRPr="00FA20F2">
        <w:rPr>
          <w:rFonts w:ascii="Cambria" w:hAnsi="Cambria"/>
          <w:noProof/>
        </w:rPr>
        <w:t>A.4.1. Introduction</w:t>
      </w:r>
      <w:r w:rsidR="00763B0B">
        <w:rPr>
          <w:noProof/>
        </w:rPr>
        <w:tab/>
      </w:r>
      <w:r w:rsidR="00763B0B">
        <w:rPr>
          <w:noProof/>
        </w:rPr>
        <w:fldChar w:fldCharType="begin"/>
      </w:r>
      <w:r w:rsidR="00763B0B">
        <w:rPr>
          <w:noProof/>
        </w:rPr>
        <w:instrText xml:space="preserve"> PAGEREF _Toc470355596 \h </w:instrText>
      </w:r>
      <w:r w:rsidR="00763B0B">
        <w:rPr>
          <w:noProof/>
        </w:rPr>
      </w:r>
      <w:r w:rsidR="00763B0B">
        <w:rPr>
          <w:noProof/>
        </w:rPr>
        <w:fldChar w:fldCharType="separate"/>
      </w:r>
      <w:r w:rsidR="00763B0B">
        <w:rPr>
          <w:noProof/>
        </w:rPr>
        <w:t>2</w:t>
      </w:r>
      <w:r w:rsidR="00763B0B">
        <w:rPr>
          <w:noProof/>
        </w:rPr>
        <w:fldChar w:fldCharType="end"/>
      </w:r>
    </w:p>
    <w:p w14:paraId="1F444FE2" w14:textId="77777777" w:rsidR="00763B0B" w:rsidRDefault="00763B0B">
      <w:pPr>
        <w:pStyle w:val="TOC1"/>
        <w:tabs>
          <w:tab w:val="right" w:leader="dot" w:pos="8630"/>
        </w:tabs>
        <w:rPr>
          <w:b w:val="0"/>
          <w:noProof/>
          <w:lang w:eastAsia="ja-JP"/>
        </w:rPr>
      </w:pPr>
      <w:r w:rsidRPr="00FA20F2">
        <w:rPr>
          <w:rFonts w:ascii="Cambria" w:hAnsi="Cambria"/>
          <w:noProof/>
        </w:rPr>
        <w:t>A.4.2. Specifying priors on alternative hypotheses</w:t>
      </w:r>
      <w:r>
        <w:rPr>
          <w:noProof/>
        </w:rPr>
        <w:tab/>
      </w:r>
      <w:r>
        <w:rPr>
          <w:noProof/>
        </w:rPr>
        <w:fldChar w:fldCharType="begin"/>
      </w:r>
      <w:r>
        <w:rPr>
          <w:noProof/>
        </w:rPr>
        <w:instrText xml:space="preserve"> PAGEREF _Toc470355597 \h </w:instrText>
      </w:r>
      <w:r>
        <w:rPr>
          <w:noProof/>
        </w:rPr>
      </w:r>
      <w:r>
        <w:rPr>
          <w:noProof/>
        </w:rPr>
        <w:fldChar w:fldCharType="separate"/>
      </w:r>
      <w:r>
        <w:rPr>
          <w:noProof/>
        </w:rPr>
        <w:t>4</w:t>
      </w:r>
      <w:r>
        <w:rPr>
          <w:noProof/>
        </w:rPr>
        <w:fldChar w:fldCharType="end"/>
      </w:r>
    </w:p>
    <w:p w14:paraId="1AB96207" w14:textId="77777777" w:rsidR="00763B0B" w:rsidRDefault="00763B0B">
      <w:pPr>
        <w:pStyle w:val="TOC1"/>
        <w:tabs>
          <w:tab w:val="right" w:leader="dot" w:pos="8630"/>
        </w:tabs>
        <w:rPr>
          <w:b w:val="0"/>
          <w:noProof/>
          <w:lang w:eastAsia="ja-JP"/>
        </w:rPr>
      </w:pPr>
      <w:r w:rsidRPr="00FA20F2">
        <w:rPr>
          <w:rFonts w:ascii="Cambria" w:hAnsi="Cambria"/>
          <w:noProof/>
        </w:rPr>
        <w:t>A.4.3. Eliminating implausible suspects: The “guilty mind” and “guilty act” hoop tests</w:t>
      </w:r>
      <w:r>
        <w:rPr>
          <w:noProof/>
        </w:rPr>
        <w:tab/>
      </w:r>
      <w:r>
        <w:rPr>
          <w:noProof/>
        </w:rPr>
        <w:fldChar w:fldCharType="begin"/>
      </w:r>
      <w:r>
        <w:rPr>
          <w:noProof/>
        </w:rPr>
        <w:instrText xml:space="preserve"> PAGEREF _Toc470355598 \h </w:instrText>
      </w:r>
      <w:r>
        <w:rPr>
          <w:noProof/>
        </w:rPr>
      </w:r>
      <w:r>
        <w:rPr>
          <w:noProof/>
        </w:rPr>
        <w:fldChar w:fldCharType="separate"/>
      </w:r>
      <w:r>
        <w:rPr>
          <w:noProof/>
        </w:rPr>
        <w:t>7</w:t>
      </w:r>
      <w:r>
        <w:rPr>
          <w:noProof/>
        </w:rPr>
        <w:fldChar w:fldCharType="end"/>
      </w:r>
    </w:p>
    <w:p w14:paraId="54F2609D" w14:textId="77777777" w:rsidR="00763B0B" w:rsidRDefault="00763B0B">
      <w:pPr>
        <w:pStyle w:val="TOC1"/>
        <w:tabs>
          <w:tab w:val="right" w:leader="dot" w:pos="8630"/>
        </w:tabs>
        <w:rPr>
          <w:b w:val="0"/>
          <w:noProof/>
          <w:lang w:eastAsia="ja-JP"/>
        </w:rPr>
      </w:pPr>
      <w:r w:rsidRPr="00FA20F2">
        <w:rPr>
          <w:rFonts w:ascii="Cambria" w:hAnsi="Cambria"/>
          <w:noProof/>
        </w:rPr>
        <w:t>A.4.4. Finding the “mastermind” behind the “crime”</w:t>
      </w:r>
      <w:r>
        <w:rPr>
          <w:noProof/>
        </w:rPr>
        <w:tab/>
      </w:r>
      <w:r>
        <w:rPr>
          <w:noProof/>
        </w:rPr>
        <w:fldChar w:fldCharType="begin"/>
      </w:r>
      <w:r>
        <w:rPr>
          <w:noProof/>
        </w:rPr>
        <w:instrText xml:space="preserve"> PAGEREF _Toc470355599 \h </w:instrText>
      </w:r>
      <w:r>
        <w:rPr>
          <w:noProof/>
        </w:rPr>
      </w:r>
      <w:r>
        <w:rPr>
          <w:noProof/>
        </w:rPr>
        <w:fldChar w:fldCharType="separate"/>
      </w:r>
      <w:r>
        <w:rPr>
          <w:noProof/>
        </w:rPr>
        <w:t>9</w:t>
      </w:r>
      <w:r>
        <w:rPr>
          <w:noProof/>
        </w:rPr>
        <w:fldChar w:fldCharType="end"/>
      </w:r>
    </w:p>
    <w:p w14:paraId="7171381B" w14:textId="77777777" w:rsidR="00763B0B" w:rsidRDefault="00763B0B">
      <w:pPr>
        <w:pStyle w:val="TOC1"/>
        <w:tabs>
          <w:tab w:val="right" w:leader="dot" w:pos="8630"/>
        </w:tabs>
        <w:rPr>
          <w:b w:val="0"/>
          <w:noProof/>
          <w:lang w:eastAsia="ja-JP"/>
        </w:rPr>
      </w:pPr>
      <w:r w:rsidRPr="00FA20F2">
        <w:rPr>
          <w:rFonts w:ascii="Cambria" w:hAnsi="Cambria"/>
          <w:noProof/>
        </w:rPr>
        <w:t>References</w:t>
      </w:r>
      <w:r>
        <w:rPr>
          <w:noProof/>
        </w:rPr>
        <w:tab/>
      </w:r>
      <w:r>
        <w:rPr>
          <w:noProof/>
        </w:rPr>
        <w:fldChar w:fldCharType="begin"/>
      </w:r>
      <w:r>
        <w:rPr>
          <w:noProof/>
        </w:rPr>
        <w:instrText xml:space="preserve"> PAGEREF _Toc470355600 \h </w:instrText>
      </w:r>
      <w:r>
        <w:rPr>
          <w:noProof/>
        </w:rPr>
      </w:r>
      <w:r>
        <w:rPr>
          <w:noProof/>
        </w:rPr>
        <w:fldChar w:fldCharType="separate"/>
      </w:r>
      <w:r>
        <w:rPr>
          <w:noProof/>
        </w:rPr>
        <w:t>12</w:t>
      </w:r>
      <w:r>
        <w:rPr>
          <w:noProof/>
        </w:rPr>
        <w:fldChar w:fldCharType="end"/>
      </w:r>
    </w:p>
    <w:p w14:paraId="55152775" w14:textId="77777777" w:rsidR="007030B9" w:rsidRPr="00025F8B" w:rsidRDefault="007030B9">
      <w:pPr>
        <w:rPr>
          <w:rFonts w:ascii="Cambria" w:hAnsi="Cambria"/>
        </w:rPr>
      </w:pPr>
      <w:r w:rsidRPr="00025F8B">
        <w:rPr>
          <w:rFonts w:ascii="Cambria" w:hAnsi="Cambria"/>
        </w:rPr>
        <w:fldChar w:fldCharType="end"/>
      </w:r>
    </w:p>
    <w:p w14:paraId="47A1E1F3" w14:textId="77777777" w:rsidR="00E82A4F" w:rsidRPr="00025F8B" w:rsidRDefault="00E82A4F">
      <w:pPr>
        <w:rPr>
          <w:rFonts w:ascii="Cambria" w:hAnsi="Cambria"/>
        </w:rPr>
      </w:pPr>
    </w:p>
    <w:p w14:paraId="2865FFD8" w14:textId="2172CC11" w:rsidR="00E82A4F" w:rsidRPr="00025F8B" w:rsidRDefault="00E82A4F">
      <w:pPr>
        <w:rPr>
          <w:rFonts w:ascii="Cambria" w:hAnsi="Cambria"/>
        </w:rPr>
      </w:pPr>
      <w:r w:rsidRPr="00025F8B">
        <w:rPr>
          <w:rFonts w:ascii="Cambria" w:hAnsi="Cambria"/>
        </w:rPr>
        <w:br w:type="page"/>
      </w:r>
    </w:p>
    <w:p w14:paraId="05CB15D3" w14:textId="5B10FB5E" w:rsidR="00754E2E" w:rsidRPr="00025F8B" w:rsidRDefault="00754E2E" w:rsidP="00FB4709">
      <w:pPr>
        <w:pStyle w:val="Heading1"/>
        <w:jc w:val="both"/>
        <w:rPr>
          <w:rFonts w:ascii="Cambria" w:hAnsi="Cambria"/>
          <w:color w:val="auto"/>
          <w:sz w:val="24"/>
          <w:szCs w:val="24"/>
        </w:rPr>
      </w:pPr>
      <w:bookmarkStart w:id="0" w:name="_Toc470355596"/>
      <w:r w:rsidRPr="00025F8B">
        <w:rPr>
          <w:rFonts w:ascii="Cambria" w:hAnsi="Cambria"/>
          <w:color w:val="auto"/>
          <w:sz w:val="24"/>
          <w:szCs w:val="24"/>
        </w:rPr>
        <w:lastRenderedPageBreak/>
        <w:t>A.4.1. Introduction</w:t>
      </w:r>
      <w:bookmarkEnd w:id="0"/>
    </w:p>
    <w:p w14:paraId="71541430" w14:textId="77777777" w:rsidR="006925D8" w:rsidRPr="00025F8B" w:rsidRDefault="006925D8" w:rsidP="00FB4709">
      <w:pPr>
        <w:jc w:val="both"/>
        <w:rPr>
          <w:rFonts w:ascii="Cambria" w:hAnsi="Cambria"/>
        </w:rPr>
      </w:pPr>
    </w:p>
    <w:p w14:paraId="5BF80643" w14:textId="4EAF50EE" w:rsidR="007030B9" w:rsidRPr="00025F8B" w:rsidRDefault="00DC7BE8" w:rsidP="00FB4709">
      <w:pPr>
        <w:jc w:val="both"/>
        <w:rPr>
          <w:rFonts w:ascii="Cambria" w:hAnsi="Cambria"/>
        </w:rPr>
      </w:pPr>
      <w:r w:rsidRPr="00025F8B">
        <w:rPr>
          <w:rFonts w:ascii="Cambria" w:hAnsi="Cambria"/>
        </w:rPr>
        <w:t xml:space="preserve">In this paper, my main research </w:t>
      </w:r>
      <w:r w:rsidR="005621AD">
        <w:rPr>
          <w:rFonts w:ascii="Cambria" w:hAnsi="Cambria"/>
        </w:rPr>
        <w:t>objective</w:t>
      </w:r>
      <w:r w:rsidRPr="00025F8B">
        <w:rPr>
          <w:rFonts w:ascii="Cambria" w:hAnsi="Cambria"/>
        </w:rPr>
        <w:t xml:space="preserve"> is to understand why new development policies/institutions and a new development alliance between the state and business have emerged in Poland after the global financial crisis </w:t>
      </w:r>
      <w:r w:rsidR="000710B1" w:rsidRPr="00025F8B">
        <w:rPr>
          <w:rFonts w:ascii="Cambria" w:hAnsi="Cambria"/>
        </w:rPr>
        <w:t xml:space="preserve">(GFC) </w:t>
      </w:r>
      <w:r w:rsidR="005621AD">
        <w:rPr>
          <w:rFonts w:ascii="Cambria" w:hAnsi="Cambria"/>
        </w:rPr>
        <w:t>of 2008. Since it is actors who</w:t>
      </w:r>
      <w:r w:rsidRPr="00025F8B">
        <w:rPr>
          <w:rFonts w:ascii="Cambria" w:hAnsi="Cambria"/>
        </w:rPr>
        <w:t xml:space="preserve"> shape </w:t>
      </w:r>
      <w:r w:rsidR="00CD66A6">
        <w:rPr>
          <w:rFonts w:ascii="Cambria" w:hAnsi="Cambria"/>
        </w:rPr>
        <w:t xml:space="preserve">such </w:t>
      </w:r>
      <w:r w:rsidRPr="00025F8B">
        <w:rPr>
          <w:rFonts w:ascii="Cambria" w:hAnsi="Cambria"/>
        </w:rPr>
        <w:t xml:space="preserve">policies and alliances between actors, I break my main research question </w:t>
      </w:r>
      <w:r w:rsidR="005621AD">
        <w:rPr>
          <w:rFonts w:ascii="Cambria" w:hAnsi="Cambria"/>
        </w:rPr>
        <w:t xml:space="preserve">down </w:t>
      </w:r>
      <w:r w:rsidRPr="00025F8B">
        <w:rPr>
          <w:rFonts w:ascii="Cambria" w:hAnsi="Cambria"/>
        </w:rPr>
        <w:t>into two parts:</w:t>
      </w:r>
    </w:p>
    <w:p w14:paraId="438EEA37" w14:textId="3644FBE1" w:rsidR="00DC7BE8" w:rsidRPr="00025F8B" w:rsidRDefault="00DC7BE8" w:rsidP="00FB4709">
      <w:pPr>
        <w:pStyle w:val="ListParagraph"/>
        <w:numPr>
          <w:ilvl w:val="0"/>
          <w:numId w:val="6"/>
        </w:numPr>
        <w:jc w:val="both"/>
        <w:rPr>
          <w:rFonts w:ascii="Cambria" w:hAnsi="Cambria"/>
        </w:rPr>
      </w:pPr>
      <w:r w:rsidRPr="00025F8B">
        <w:rPr>
          <w:rFonts w:ascii="Cambria" w:hAnsi="Cambria"/>
          <w:i/>
        </w:rPr>
        <w:t>Who</w:t>
      </w:r>
      <w:r w:rsidRPr="00025F8B">
        <w:rPr>
          <w:rFonts w:ascii="Cambria" w:hAnsi="Cambria"/>
        </w:rPr>
        <w:t xml:space="preserve"> – which</w:t>
      </w:r>
      <w:r w:rsidR="000710B1" w:rsidRPr="00025F8B">
        <w:rPr>
          <w:rFonts w:ascii="Cambria" w:hAnsi="Cambria"/>
        </w:rPr>
        <w:t xml:space="preserve"> specific</w:t>
      </w:r>
      <w:r w:rsidRPr="00025F8B">
        <w:rPr>
          <w:rFonts w:ascii="Cambria" w:hAnsi="Cambria"/>
        </w:rPr>
        <w:t xml:space="preserve"> type of actor </w:t>
      </w:r>
      <w:r w:rsidR="005621AD">
        <w:rPr>
          <w:rFonts w:ascii="Cambria" w:hAnsi="Cambria"/>
        </w:rPr>
        <w:t>–</w:t>
      </w:r>
      <w:r w:rsidRPr="00025F8B">
        <w:rPr>
          <w:rFonts w:ascii="Cambria" w:hAnsi="Cambria"/>
        </w:rPr>
        <w:t xml:space="preserve"> has initiated</w:t>
      </w:r>
      <w:r w:rsidR="000710B1" w:rsidRPr="00025F8B">
        <w:rPr>
          <w:rFonts w:ascii="Cambria" w:hAnsi="Cambria"/>
        </w:rPr>
        <w:t xml:space="preserve"> and carried through</w:t>
      </w:r>
      <w:r w:rsidRPr="00025F8B">
        <w:rPr>
          <w:rFonts w:ascii="Cambria" w:hAnsi="Cambria"/>
        </w:rPr>
        <w:t xml:space="preserve"> the process of building new </w:t>
      </w:r>
      <w:r w:rsidR="00C06A2A" w:rsidRPr="00025F8B">
        <w:rPr>
          <w:rFonts w:ascii="Cambria" w:hAnsi="Cambria"/>
        </w:rPr>
        <w:t xml:space="preserve">developmental </w:t>
      </w:r>
      <w:r w:rsidRPr="00025F8B">
        <w:rPr>
          <w:rFonts w:ascii="Cambria" w:hAnsi="Cambria"/>
        </w:rPr>
        <w:t xml:space="preserve">institutions/policies and </w:t>
      </w:r>
      <w:r w:rsidR="00C06A2A" w:rsidRPr="00025F8B">
        <w:rPr>
          <w:rFonts w:ascii="Cambria" w:hAnsi="Cambria"/>
        </w:rPr>
        <w:t xml:space="preserve">alliance </w:t>
      </w:r>
      <w:r w:rsidR="000710B1" w:rsidRPr="00025F8B">
        <w:rPr>
          <w:rFonts w:ascii="Cambria" w:hAnsi="Cambria"/>
        </w:rPr>
        <w:t xml:space="preserve">in Poland </w:t>
      </w:r>
      <w:r w:rsidR="00A30081" w:rsidRPr="00025F8B">
        <w:rPr>
          <w:rFonts w:ascii="Cambria" w:hAnsi="Cambria"/>
        </w:rPr>
        <w:t>after</w:t>
      </w:r>
      <w:r w:rsidR="000710B1" w:rsidRPr="00025F8B">
        <w:rPr>
          <w:rFonts w:ascii="Cambria" w:hAnsi="Cambria"/>
        </w:rPr>
        <w:t xml:space="preserve"> the GFC?</w:t>
      </w:r>
      <w:r w:rsidR="005621AD" w:rsidRPr="00025F8B">
        <w:rPr>
          <w:rStyle w:val="FootnoteReference"/>
          <w:rFonts w:ascii="Cambria" w:hAnsi="Cambria"/>
        </w:rPr>
        <w:footnoteReference w:id="1"/>
      </w:r>
      <w:r w:rsidR="00426C50" w:rsidRPr="00025F8B">
        <w:rPr>
          <w:rFonts w:ascii="Cambria" w:hAnsi="Cambria"/>
        </w:rPr>
        <w:t xml:space="preserve"> (Who has mobilized whom?)</w:t>
      </w:r>
    </w:p>
    <w:p w14:paraId="0D55E89F" w14:textId="0AD8E466" w:rsidR="000710B1" w:rsidRPr="00025F8B" w:rsidRDefault="000710B1" w:rsidP="00FB4709">
      <w:pPr>
        <w:pStyle w:val="ListParagraph"/>
        <w:numPr>
          <w:ilvl w:val="0"/>
          <w:numId w:val="6"/>
        </w:numPr>
        <w:jc w:val="both"/>
        <w:rPr>
          <w:rFonts w:ascii="Cambria" w:hAnsi="Cambria"/>
          <w:i/>
        </w:rPr>
      </w:pPr>
      <w:r w:rsidRPr="00025F8B">
        <w:rPr>
          <w:rFonts w:ascii="Cambria" w:hAnsi="Cambria"/>
          <w:i/>
        </w:rPr>
        <w:t xml:space="preserve">Why </w:t>
      </w:r>
      <w:r w:rsidRPr="00025F8B">
        <w:rPr>
          <w:rFonts w:ascii="Cambria" w:hAnsi="Cambria"/>
        </w:rPr>
        <w:t xml:space="preserve">has this specific type of actor </w:t>
      </w:r>
      <w:r w:rsidR="00AE4778" w:rsidRPr="00025F8B">
        <w:rPr>
          <w:rFonts w:ascii="Cambria" w:hAnsi="Cambria"/>
        </w:rPr>
        <w:t>initiated</w:t>
      </w:r>
      <w:r w:rsidR="00C96C82">
        <w:rPr>
          <w:rFonts w:ascii="Cambria" w:hAnsi="Cambria"/>
        </w:rPr>
        <w:t xml:space="preserve"> </w:t>
      </w:r>
      <w:r w:rsidR="00C96C82" w:rsidRPr="00025F8B">
        <w:rPr>
          <w:rFonts w:ascii="Cambria" w:hAnsi="Cambria"/>
        </w:rPr>
        <w:t>institution- and coalition-building</w:t>
      </w:r>
      <w:r w:rsidR="00AE4778" w:rsidRPr="00025F8B">
        <w:rPr>
          <w:rFonts w:ascii="Cambria" w:hAnsi="Cambria"/>
        </w:rPr>
        <w:t xml:space="preserve"> and been sufficiently influential to carry</w:t>
      </w:r>
      <w:r w:rsidR="00C96C82">
        <w:rPr>
          <w:rFonts w:ascii="Cambria" w:hAnsi="Cambria"/>
        </w:rPr>
        <w:t xml:space="preserve"> it through</w:t>
      </w:r>
      <w:r w:rsidR="00AE4778" w:rsidRPr="00025F8B">
        <w:rPr>
          <w:rFonts w:ascii="Cambria" w:hAnsi="Cambria"/>
        </w:rPr>
        <w:t xml:space="preserve">? In other words, what </w:t>
      </w:r>
      <w:r w:rsidR="00AE4778" w:rsidRPr="00025F8B">
        <w:rPr>
          <w:rFonts w:ascii="Cambria" w:hAnsi="Cambria"/>
          <w:i/>
        </w:rPr>
        <w:t>causal mechanism</w:t>
      </w:r>
      <w:r w:rsidR="00AE4778" w:rsidRPr="00025F8B">
        <w:rPr>
          <w:rFonts w:ascii="Cambria" w:hAnsi="Cambria"/>
        </w:rPr>
        <w:t xml:space="preserve"> explains both the preference and influence of that specific type of actor?</w:t>
      </w:r>
    </w:p>
    <w:p w14:paraId="1C51766D" w14:textId="77777777" w:rsidR="00D85F51" w:rsidRPr="00025F8B" w:rsidRDefault="00D85F51" w:rsidP="00FB4709">
      <w:pPr>
        <w:jc w:val="both"/>
        <w:rPr>
          <w:rFonts w:ascii="Cambria" w:hAnsi="Cambria"/>
        </w:rPr>
      </w:pPr>
    </w:p>
    <w:p w14:paraId="5C66D7F8" w14:textId="3299DEA0" w:rsidR="00B07D07" w:rsidRPr="00025F8B" w:rsidRDefault="00D85F51" w:rsidP="00FB4709">
      <w:pPr>
        <w:jc w:val="both"/>
        <w:rPr>
          <w:rFonts w:ascii="Cambria" w:hAnsi="Cambria"/>
        </w:rPr>
      </w:pPr>
      <w:r w:rsidRPr="00025F8B">
        <w:rPr>
          <w:rFonts w:ascii="Cambria" w:hAnsi="Cambria"/>
        </w:rPr>
        <w:t xml:space="preserve">To </w:t>
      </w:r>
      <w:r w:rsidR="00B07D07" w:rsidRPr="00025F8B">
        <w:rPr>
          <w:rFonts w:ascii="Cambria" w:hAnsi="Cambria"/>
        </w:rPr>
        <w:t xml:space="preserve">help me answer my research questions – and </w:t>
      </w:r>
      <w:r w:rsidR="00EF4331" w:rsidRPr="00025F8B">
        <w:rPr>
          <w:rFonts w:ascii="Cambria" w:hAnsi="Cambria"/>
        </w:rPr>
        <w:t>to help me discriminate between</w:t>
      </w:r>
      <w:r w:rsidR="00B07D07" w:rsidRPr="00025F8B">
        <w:rPr>
          <w:rFonts w:ascii="Cambria" w:hAnsi="Cambria"/>
        </w:rPr>
        <w:t xml:space="preserve"> alternative</w:t>
      </w:r>
      <w:r w:rsidR="00932C8D" w:rsidRPr="00025F8B">
        <w:rPr>
          <w:rFonts w:ascii="Cambria" w:hAnsi="Cambria"/>
        </w:rPr>
        <w:t xml:space="preserve"> causal</w:t>
      </w:r>
      <w:r w:rsidR="00B07D07" w:rsidRPr="00025F8B">
        <w:rPr>
          <w:rFonts w:ascii="Cambria" w:hAnsi="Cambria"/>
        </w:rPr>
        <w:t xml:space="preserve"> hypotheses – I use the method of process tracing. </w:t>
      </w:r>
      <w:r w:rsidR="0063336A" w:rsidRPr="00025F8B">
        <w:rPr>
          <w:rFonts w:ascii="Cambria" w:hAnsi="Cambria"/>
        </w:rPr>
        <w:t>P</w:t>
      </w:r>
      <w:r w:rsidR="00B07D07" w:rsidRPr="00025F8B">
        <w:rPr>
          <w:rFonts w:ascii="Cambria" w:hAnsi="Cambria"/>
        </w:rPr>
        <w:t>rocess tracing has been defined as “the analysis of evidence on processes, sequences, and conjunctures of events within a case for the purposes of either developing or testing hypotheses about causal mechanisms that might causally explain the case” (Bennett and Checkel, 2015, p. 7)</w:t>
      </w:r>
      <w:r w:rsidR="00E31E33" w:rsidRPr="00025F8B">
        <w:rPr>
          <w:rFonts w:ascii="Cambria" w:hAnsi="Cambria"/>
        </w:rPr>
        <w:t>.</w:t>
      </w:r>
      <w:r w:rsidR="00B07D07" w:rsidRPr="00025F8B">
        <w:rPr>
          <w:rFonts w:ascii="Cambria" w:hAnsi="Cambria"/>
        </w:rPr>
        <w:t xml:space="preserve"> </w:t>
      </w:r>
      <w:r w:rsidR="0063336A" w:rsidRPr="00025F8B">
        <w:rPr>
          <w:rFonts w:ascii="Cambria" w:hAnsi="Cambria"/>
        </w:rPr>
        <w:t>Instead of making causal inferences based on a cross-case analysis of observational or experimental data, process tracing relies on a very close “within-case” analysis of a single case and uses so-called “causal process observations”</w:t>
      </w:r>
      <w:r w:rsidR="0066188E">
        <w:rPr>
          <w:rFonts w:ascii="Cambria" w:hAnsi="Cambria"/>
        </w:rPr>
        <w:t xml:space="preserve"> (CPOs)</w:t>
      </w:r>
      <w:r w:rsidR="0063336A" w:rsidRPr="00025F8B">
        <w:rPr>
          <w:rFonts w:ascii="Cambria" w:hAnsi="Cambria"/>
        </w:rPr>
        <w:t xml:space="preserve"> </w:t>
      </w:r>
      <w:r w:rsidR="00EF4331" w:rsidRPr="00025F8B">
        <w:rPr>
          <w:rFonts w:ascii="Cambria" w:hAnsi="Cambria"/>
        </w:rPr>
        <w:t>as pieces of evidence in favor or against alternative hypotheses</w:t>
      </w:r>
      <w:r w:rsidR="00AC35E5" w:rsidRPr="00025F8B">
        <w:rPr>
          <w:rFonts w:ascii="Cambria" w:hAnsi="Cambria"/>
        </w:rPr>
        <w:t xml:space="preserve"> </w:t>
      </w:r>
      <w:r w:rsidR="005802C0" w:rsidRPr="00025F8B">
        <w:rPr>
          <w:rFonts w:ascii="Cambria" w:hAnsi="Cambria"/>
        </w:rPr>
        <w:t xml:space="preserve">(e.g. Mahoney, 2010). </w:t>
      </w:r>
    </w:p>
    <w:p w14:paraId="50490319" w14:textId="77777777" w:rsidR="00343AA7" w:rsidRPr="00025F8B" w:rsidRDefault="00343AA7" w:rsidP="00FB4709">
      <w:pPr>
        <w:jc w:val="both"/>
        <w:rPr>
          <w:rFonts w:ascii="Cambria" w:hAnsi="Cambria"/>
        </w:rPr>
      </w:pPr>
    </w:p>
    <w:p w14:paraId="3E11D610" w14:textId="0A3E479F" w:rsidR="002C14F0" w:rsidRPr="00025F8B" w:rsidRDefault="00C6233A" w:rsidP="00FB4709">
      <w:pPr>
        <w:jc w:val="both"/>
        <w:rPr>
          <w:rFonts w:ascii="Cambria" w:hAnsi="Cambria"/>
        </w:rPr>
      </w:pPr>
      <w:r w:rsidRPr="00025F8B">
        <w:rPr>
          <w:rFonts w:ascii="Cambria" w:hAnsi="Cambria"/>
        </w:rPr>
        <w:t>M</w:t>
      </w:r>
      <w:r w:rsidR="00932C8D" w:rsidRPr="00025F8B">
        <w:rPr>
          <w:rFonts w:ascii="Cambria" w:hAnsi="Cambria"/>
        </w:rPr>
        <w:t xml:space="preserve">ethodological literature on process-tracing has </w:t>
      </w:r>
      <w:r w:rsidR="00BB5E04" w:rsidRPr="00025F8B">
        <w:rPr>
          <w:rFonts w:ascii="Cambria" w:hAnsi="Cambria"/>
        </w:rPr>
        <w:t>greatly clarified</w:t>
      </w:r>
      <w:r w:rsidR="00932C8D" w:rsidRPr="00025F8B">
        <w:rPr>
          <w:rFonts w:ascii="Cambria" w:hAnsi="Cambria"/>
        </w:rPr>
        <w:t xml:space="preserve"> </w:t>
      </w:r>
      <w:r w:rsidRPr="00025F8B">
        <w:rPr>
          <w:rFonts w:ascii="Cambria" w:hAnsi="Cambria"/>
        </w:rPr>
        <w:t>how researchers can gain confidence in specific theories based on the observation of specific pieces</w:t>
      </w:r>
      <w:r w:rsidR="00D00934">
        <w:rPr>
          <w:rFonts w:ascii="Cambria" w:hAnsi="Cambria"/>
        </w:rPr>
        <w:t xml:space="preserve"> of evidence</w:t>
      </w:r>
      <w:r w:rsidR="00BB5E04" w:rsidRPr="00025F8B">
        <w:rPr>
          <w:rFonts w:ascii="Cambria" w:hAnsi="Cambria"/>
        </w:rPr>
        <w:t xml:space="preserve"> or, in other words, </w:t>
      </w:r>
      <w:r w:rsidR="00D00934">
        <w:rPr>
          <w:rFonts w:ascii="Cambria" w:hAnsi="Cambria"/>
        </w:rPr>
        <w:t xml:space="preserve">in </w:t>
      </w:r>
      <w:r w:rsidR="00BB5E04" w:rsidRPr="00025F8B">
        <w:rPr>
          <w:rFonts w:ascii="Cambria" w:hAnsi="Cambria"/>
        </w:rPr>
        <w:t>h</w:t>
      </w:r>
      <w:r w:rsidR="00C60505" w:rsidRPr="00025F8B">
        <w:rPr>
          <w:rFonts w:ascii="Cambria" w:hAnsi="Cambria"/>
        </w:rPr>
        <w:t xml:space="preserve">ow </w:t>
      </w:r>
      <w:r w:rsidR="00BB5E04" w:rsidRPr="00025F8B">
        <w:rPr>
          <w:rFonts w:ascii="Cambria" w:hAnsi="Cambria"/>
        </w:rPr>
        <w:t>they</w:t>
      </w:r>
      <w:r w:rsidR="00C60505" w:rsidRPr="00025F8B">
        <w:rPr>
          <w:rFonts w:ascii="Cambria" w:hAnsi="Cambria"/>
        </w:rPr>
        <w:t xml:space="preserve"> </w:t>
      </w:r>
      <w:r w:rsidR="00BB5E04" w:rsidRPr="00025F8B">
        <w:rPr>
          <w:rFonts w:ascii="Cambria" w:hAnsi="Cambria"/>
        </w:rPr>
        <w:t xml:space="preserve">can </w:t>
      </w:r>
      <w:r w:rsidR="00C60505" w:rsidRPr="00025F8B">
        <w:rPr>
          <w:rFonts w:ascii="Cambria" w:hAnsi="Cambria"/>
        </w:rPr>
        <w:t>know that evidence points (or does not point) to a causal relationship between</w:t>
      </w:r>
      <w:r w:rsidR="00D00934">
        <w:rPr>
          <w:rFonts w:ascii="Cambria" w:hAnsi="Cambria"/>
        </w:rPr>
        <w:t xml:space="preserve"> a condition</w:t>
      </w:r>
      <w:r w:rsidR="00C60505" w:rsidRPr="00025F8B">
        <w:rPr>
          <w:rFonts w:ascii="Cambria" w:hAnsi="Cambria"/>
        </w:rPr>
        <w:t xml:space="preserve"> </w:t>
      </w:r>
      <w:r w:rsidR="00C60505" w:rsidRPr="00025F8B">
        <w:rPr>
          <w:rFonts w:ascii="Cambria" w:hAnsi="Cambria"/>
          <w:i/>
          <w:iCs/>
        </w:rPr>
        <w:t>X</w:t>
      </w:r>
      <w:r w:rsidR="00C60505" w:rsidRPr="00025F8B">
        <w:rPr>
          <w:rFonts w:ascii="Cambria" w:hAnsi="Cambria"/>
        </w:rPr>
        <w:t xml:space="preserve"> and</w:t>
      </w:r>
      <w:r w:rsidR="00BB5E04" w:rsidRPr="00025F8B">
        <w:rPr>
          <w:rFonts w:ascii="Cambria" w:hAnsi="Cambria"/>
        </w:rPr>
        <w:t xml:space="preserve"> a</w:t>
      </w:r>
      <w:r w:rsidR="00D00934">
        <w:rPr>
          <w:rFonts w:ascii="Cambria" w:hAnsi="Cambria"/>
        </w:rPr>
        <w:t>n outcome</w:t>
      </w:r>
      <w:r w:rsidR="00C60505" w:rsidRPr="00025F8B">
        <w:rPr>
          <w:rFonts w:ascii="Cambria" w:hAnsi="Cambria"/>
        </w:rPr>
        <w:t xml:space="preserve"> </w:t>
      </w:r>
      <w:r w:rsidR="00C60505" w:rsidRPr="00025F8B">
        <w:rPr>
          <w:rFonts w:ascii="Cambria" w:hAnsi="Cambria"/>
          <w:i/>
          <w:iCs/>
        </w:rPr>
        <w:t>Y</w:t>
      </w:r>
      <w:r w:rsidR="00BB5E04" w:rsidRPr="00025F8B">
        <w:rPr>
          <w:rFonts w:ascii="Cambria" w:hAnsi="Cambria"/>
        </w:rPr>
        <w:t>. There is increasingly wide agreem</w:t>
      </w:r>
      <w:r w:rsidR="00D00934">
        <w:rPr>
          <w:rFonts w:ascii="Cambria" w:hAnsi="Cambria"/>
        </w:rPr>
        <w:t>ent that the inferential logic underpinning</w:t>
      </w:r>
      <w:r w:rsidR="00BB5E04" w:rsidRPr="00025F8B">
        <w:rPr>
          <w:rFonts w:ascii="Cambria" w:hAnsi="Cambria"/>
        </w:rPr>
        <w:t xml:space="preserve"> process tracing</w:t>
      </w:r>
      <w:r w:rsidR="001C2C7A" w:rsidRPr="00025F8B">
        <w:rPr>
          <w:rFonts w:ascii="Cambria" w:hAnsi="Cambria"/>
        </w:rPr>
        <w:t xml:space="preserve"> is Bayesian </w:t>
      </w:r>
      <w:r w:rsidR="00ED2ABB" w:rsidRPr="00025F8B">
        <w:rPr>
          <w:rFonts w:ascii="Cambria" w:hAnsi="Cambria"/>
        </w:rPr>
        <w:t>belief updating where social scientists have various initial degrees of belief (</w:t>
      </w:r>
      <w:r w:rsidR="00A55652" w:rsidRPr="00025F8B">
        <w:rPr>
          <w:rFonts w:ascii="Cambria" w:hAnsi="Cambria"/>
        </w:rPr>
        <w:t xml:space="preserve">a </w:t>
      </w:r>
      <w:r w:rsidR="00ED2ABB" w:rsidRPr="00025F8B">
        <w:rPr>
          <w:rFonts w:ascii="Cambria" w:hAnsi="Cambria"/>
          <w:i/>
        </w:rPr>
        <w:t>prior</w:t>
      </w:r>
      <w:r w:rsidR="004139DB" w:rsidRPr="00025F8B">
        <w:rPr>
          <w:rFonts w:ascii="Cambria" w:hAnsi="Cambria"/>
        </w:rPr>
        <w:t xml:space="preserve"> probability</w:t>
      </w:r>
      <w:r w:rsidR="00ED2ABB" w:rsidRPr="00025F8B">
        <w:rPr>
          <w:rFonts w:ascii="Cambria" w:hAnsi="Cambria"/>
        </w:rPr>
        <w:t xml:space="preserve">) in </w:t>
      </w:r>
      <w:r w:rsidR="00D00934">
        <w:rPr>
          <w:rFonts w:ascii="Cambria" w:hAnsi="Cambria"/>
        </w:rPr>
        <w:t>various</w:t>
      </w:r>
      <w:r w:rsidR="00A55652" w:rsidRPr="00025F8B">
        <w:rPr>
          <w:rFonts w:ascii="Cambria" w:hAnsi="Cambria"/>
        </w:rPr>
        <w:t xml:space="preserve"> </w:t>
      </w:r>
      <w:r w:rsidR="00D00934">
        <w:rPr>
          <w:rFonts w:ascii="Cambria" w:hAnsi="Cambria"/>
        </w:rPr>
        <w:t>theori</w:t>
      </w:r>
      <w:r w:rsidR="00A55652" w:rsidRPr="00025F8B">
        <w:rPr>
          <w:rFonts w:ascii="Cambria" w:hAnsi="Cambria"/>
        </w:rPr>
        <w:t>es</w:t>
      </w:r>
      <w:r w:rsidR="00ED2ABB" w:rsidRPr="00025F8B">
        <w:rPr>
          <w:rFonts w:ascii="Cambria" w:hAnsi="Cambria"/>
        </w:rPr>
        <w:t xml:space="preserve"> and update </w:t>
      </w:r>
      <w:r w:rsidR="00B61E4B" w:rsidRPr="00025F8B">
        <w:rPr>
          <w:rFonts w:ascii="Cambria" w:hAnsi="Cambria"/>
        </w:rPr>
        <w:t xml:space="preserve">those prior beliefs into </w:t>
      </w:r>
      <w:r w:rsidR="00B61E4B" w:rsidRPr="00025F8B">
        <w:rPr>
          <w:rFonts w:ascii="Cambria" w:hAnsi="Cambria"/>
          <w:i/>
        </w:rPr>
        <w:t>posterior</w:t>
      </w:r>
      <w:r w:rsidR="00B61E4B" w:rsidRPr="00025F8B">
        <w:rPr>
          <w:rFonts w:ascii="Cambria" w:hAnsi="Cambria"/>
        </w:rPr>
        <w:t xml:space="preserve"> belief</w:t>
      </w:r>
      <w:r w:rsidR="004139DB" w:rsidRPr="00025F8B">
        <w:rPr>
          <w:rFonts w:ascii="Cambria" w:hAnsi="Cambria"/>
        </w:rPr>
        <w:t>s (or</w:t>
      </w:r>
      <w:r w:rsidR="005E4A11" w:rsidRPr="00025F8B">
        <w:rPr>
          <w:rFonts w:ascii="Cambria" w:hAnsi="Cambria"/>
        </w:rPr>
        <w:t xml:space="preserve"> a</w:t>
      </w:r>
      <w:r w:rsidR="004139DB" w:rsidRPr="00025F8B">
        <w:rPr>
          <w:rFonts w:ascii="Cambria" w:hAnsi="Cambria"/>
        </w:rPr>
        <w:t xml:space="preserve"> posterior probability)</w:t>
      </w:r>
      <w:r w:rsidR="00B61E4B" w:rsidRPr="00025F8B">
        <w:rPr>
          <w:rFonts w:ascii="Cambria" w:hAnsi="Cambria"/>
        </w:rPr>
        <w:t xml:space="preserve"> when they observe new evidence</w:t>
      </w:r>
      <w:r w:rsidR="00B9796F" w:rsidRPr="00025F8B">
        <w:rPr>
          <w:rFonts w:ascii="Cambria" w:hAnsi="Cambria"/>
        </w:rPr>
        <w:t xml:space="preserve"> (Bennett, 2008)</w:t>
      </w:r>
      <w:r w:rsidR="00B61E4B" w:rsidRPr="00025F8B">
        <w:rPr>
          <w:rFonts w:ascii="Cambria" w:hAnsi="Cambria"/>
        </w:rPr>
        <w:t>.</w:t>
      </w:r>
      <w:r w:rsidR="004139DB" w:rsidRPr="00025F8B">
        <w:rPr>
          <w:rFonts w:ascii="Cambria" w:hAnsi="Cambria"/>
        </w:rPr>
        <w:t xml:space="preserve"> </w:t>
      </w:r>
      <w:r w:rsidR="00BF300C" w:rsidRPr="00025F8B">
        <w:rPr>
          <w:rFonts w:ascii="Cambria" w:hAnsi="Cambria"/>
        </w:rPr>
        <w:t>Empirical evidence can either increase or decrease one’</w:t>
      </w:r>
      <w:r w:rsidR="00D00934">
        <w:rPr>
          <w:rFonts w:ascii="Cambria" w:hAnsi="Cambria"/>
        </w:rPr>
        <w:t>s confidence in a hypothesis: When they</w:t>
      </w:r>
      <w:r w:rsidR="00BF300C" w:rsidRPr="00025F8B">
        <w:rPr>
          <w:rFonts w:ascii="Cambria" w:hAnsi="Cambria"/>
        </w:rPr>
        <w:t xml:space="preserve"> assess </w:t>
      </w:r>
      <w:r w:rsidR="00D00934">
        <w:rPr>
          <w:rFonts w:ascii="Cambria" w:hAnsi="Cambria"/>
        </w:rPr>
        <w:t>new</w:t>
      </w:r>
      <w:r w:rsidR="00202F2A">
        <w:rPr>
          <w:rFonts w:ascii="Cambria" w:hAnsi="Cambria"/>
        </w:rPr>
        <w:t xml:space="preserve"> evidence, researchers</w:t>
      </w:r>
      <w:r w:rsidR="00BF300C" w:rsidRPr="00025F8B">
        <w:rPr>
          <w:rFonts w:ascii="Cambria" w:hAnsi="Cambria"/>
        </w:rPr>
        <w:t xml:space="preserve"> estimate </w:t>
      </w:r>
      <w:r w:rsidR="00202F2A" w:rsidRPr="00025F8B">
        <w:rPr>
          <w:rFonts w:ascii="Cambria" w:hAnsi="Cambria"/>
        </w:rPr>
        <w:t>– more or less formally –</w:t>
      </w:r>
      <w:r w:rsidR="00202F2A">
        <w:rPr>
          <w:rFonts w:ascii="Cambria" w:hAnsi="Cambria"/>
        </w:rPr>
        <w:t xml:space="preserve"> </w:t>
      </w:r>
      <w:r w:rsidR="00BF300C" w:rsidRPr="00025F8B">
        <w:rPr>
          <w:rFonts w:ascii="Cambria" w:hAnsi="Cambria"/>
        </w:rPr>
        <w:t xml:space="preserve">the likelihood that this specific piece </w:t>
      </w:r>
      <w:r w:rsidR="002466F8">
        <w:rPr>
          <w:rFonts w:ascii="Cambria" w:hAnsi="Cambria"/>
        </w:rPr>
        <w:t xml:space="preserve">of </w:t>
      </w:r>
      <w:r w:rsidR="00BF300C" w:rsidRPr="00025F8B">
        <w:rPr>
          <w:rFonts w:ascii="Cambria" w:hAnsi="Cambria"/>
        </w:rPr>
        <w:t xml:space="preserve">evidence would be found if a hypothesis or an alternative </w:t>
      </w:r>
      <w:r w:rsidR="00B75871" w:rsidRPr="00025F8B">
        <w:rPr>
          <w:rFonts w:ascii="Cambria" w:hAnsi="Cambria"/>
        </w:rPr>
        <w:t xml:space="preserve">one </w:t>
      </w:r>
      <w:r w:rsidR="00BF300C" w:rsidRPr="00025F8B">
        <w:rPr>
          <w:rFonts w:ascii="Cambria" w:hAnsi="Cambria"/>
        </w:rPr>
        <w:t>were true.</w:t>
      </w:r>
      <w:r w:rsidR="00B75871" w:rsidRPr="00025F8B">
        <w:rPr>
          <w:rFonts w:ascii="Cambria" w:hAnsi="Cambria"/>
        </w:rPr>
        <w:t xml:space="preserve"> Methodologists have been debating about whether Bayesian analysis should be used </w:t>
      </w:r>
      <w:r w:rsidR="000452DA" w:rsidRPr="00025F8B">
        <w:rPr>
          <w:rFonts w:ascii="Cambria" w:hAnsi="Cambria"/>
        </w:rPr>
        <w:t xml:space="preserve">more formally – with numerical </w:t>
      </w:r>
      <w:r w:rsidR="00771346" w:rsidRPr="00025F8B">
        <w:rPr>
          <w:rFonts w:ascii="Cambria" w:hAnsi="Cambria"/>
        </w:rPr>
        <w:t>estimations of prior and posterior probabilities – or whether process tracing can continue relying on a more informal – “folk” – version of this type of reasoning</w:t>
      </w:r>
      <w:r w:rsidR="00F6241F">
        <w:rPr>
          <w:rFonts w:ascii="Cambria" w:hAnsi="Cambria"/>
        </w:rPr>
        <w:t xml:space="preserve">  (Beach and Pedersen, 2019: chapters</w:t>
      </w:r>
      <w:r w:rsidR="002C14F0" w:rsidRPr="00025F8B">
        <w:rPr>
          <w:rFonts w:ascii="Cambria" w:hAnsi="Cambria"/>
        </w:rPr>
        <w:t xml:space="preserve"> 5-7; Bennett, 2008; Fairfield and Charman, 2017; 2019).</w:t>
      </w:r>
      <w:r w:rsidR="00A34D1B" w:rsidRPr="00025F8B">
        <w:rPr>
          <w:rFonts w:ascii="Cambria" w:hAnsi="Cambria"/>
        </w:rPr>
        <w:t xml:space="preserve"> In this paper, </w:t>
      </w:r>
      <w:r w:rsidR="00523576" w:rsidRPr="00025F8B">
        <w:rPr>
          <w:rFonts w:ascii="Cambria" w:hAnsi="Cambria"/>
        </w:rPr>
        <w:t xml:space="preserve">I stick to a folk version of Bayesian reasoning in process tracing. </w:t>
      </w:r>
      <w:r w:rsidR="00B66B7D" w:rsidRPr="00025F8B">
        <w:rPr>
          <w:rFonts w:ascii="Cambria" w:hAnsi="Cambria"/>
        </w:rPr>
        <w:t xml:space="preserve">Although I leave it to the reader to estimate their own initial beliefs and updated beliefs based on the evidence I provide, </w:t>
      </w:r>
      <w:r w:rsidR="00523576" w:rsidRPr="00025F8B">
        <w:rPr>
          <w:rFonts w:ascii="Cambria" w:hAnsi="Cambria"/>
        </w:rPr>
        <w:t xml:space="preserve">I nonetheless </w:t>
      </w:r>
      <w:r w:rsidR="00B66B7D" w:rsidRPr="00025F8B">
        <w:rPr>
          <w:rFonts w:ascii="Cambria" w:hAnsi="Cambria"/>
        </w:rPr>
        <w:t xml:space="preserve">briefly </w:t>
      </w:r>
      <w:r w:rsidR="00523576" w:rsidRPr="00025F8B">
        <w:rPr>
          <w:rFonts w:ascii="Cambria" w:hAnsi="Cambria"/>
        </w:rPr>
        <w:t xml:space="preserve">discuss </w:t>
      </w:r>
      <w:r w:rsidR="00B66B7D" w:rsidRPr="00025F8B">
        <w:rPr>
          <w:rFonts w:ascii="Cambria" w:hAnsi="Cambria"/>
        </w:rPr>
        <w:t>my own priors – based on</w:t>
      </w:r>
      <w:r w:rsidR="008F6CC1">
        <w:rPr>
          <w:rFonts w:ascii="Cambria" w:hAnsi="Cambria"/>
        </w:rPr>
        <w:t xml:space="preserve"> my reading of t</w:t>
      </w:r>
      <w:r w:rsidR="00B66B7D" w:rsidRPr="00025F8B">
        <w:rPr>
          <w:rFonts w:ascii="Cambria" w:hAnsi="Cambria"/>
        </w:rPr>
        <w:t xml:space="preserve">he literature and of the Polish context – in an informal way in the next section of this appendix. </w:t>
      </w:r>
    </w:p>
    <w:p w14:paraId="36B5E169" w14:textId="76353296" w:rsidR="00BF300C" w:rsidRPr="00025F8B" w:rsidRDefault="00BF300C" w:rsidP="00FB4709">
      <w:pPr>
        <w:jc w:val="both"/>
        <w:rPr>
          <w:rFonts w:ascii="Cambria" w:hAnsi="Cambria"/>
        </w:rPr>
      </w:pPr>
    </w:p>
    <w:p w14:paraId="4C15A0EF" w14:textId="1EC595D7" w:rsidR="00F34251" w:rsidRPr="00025F8B" w:rsidRDefault="00411498" w:rsidP="00FB4709">
      <w:pPr>
        <w:spacing w:after="120"/>
        <w:jc w:val="both"/>
        <w:rPr>
          <w:rFonts w:ascii="Cambria" w:hAnsi="Cambria"/>
        </w:rPr>
      </w:pPr>
      <w:r w:rsidRPr="00025F8B">
        <w:rPr>
          <w:rFonts w:ascii="Cambria" w:hAnsi="Cambria"/>
        </w:rPr>
        <w:t>One tool that methodologists of pr</w:t>
      </w:r>
      <w:r w:rsidR="00761064" w:rsidRPr="00025F8B">
        <w:rPr>
          <w:rFonts w:ascii="Cambria" w:hAnsi="Cambria"/>
        </w:rPr>
        <w:t xml:space="preserve">ocess tracing have developed in order to help researchers assess the </w:t>
      </w:r>
      <w:r w:rsidR="00C576DB" w:rsidRPr="00025F8B">
        <w:rPr>
          <w:rFonts w:ascii="Cambria" w:hAnsi="Cambria"/>
        </w:rPr>
        <w:t>evidentiary value</w:t>
      </w:r>
      <w:r w:rsidR="00761064" w:rsidRPr="00025F8B">
        <w:rPr>
          <w:rFonts w:ascii="Cambria" w:hAnsi="Cambria"/>
        </w:rPr>
        <w:t xml:space="preserve"> of specific </w:t>
      </w:r>
      <w:r w:rsidR="00C576DB" w:rsidRPr="00025F8B">
        <w:rPr>
          <w:rFonts w:ascii="Cambria" w:hAnsi="Cambria"/>
        </w:rPr>
        <w:t>observations</w:t>
      </w:r>
      <w:r w:rsidR="00076197" w:rsidRPr="00025F8B">
        <w:rPr>
          <w:rFonts w:ascii="Cambria" w:hAnsi="Cambria"/>
        </w:rPr>
        <w:t xml:space="preserve"> </w:t>
      </w:r>
      <w:r w:rsidR="00064443" w:rsidRPr="00025F8B">
        <w:rPr>
          <w:rFonts w:ascii="Cambria" w:hAnsi="Cambria"/>
        </w:rPr>
        <w:t>is so-called “process tracing</w:t>
      </w:r>
      <w:r w:rsidR="00761064" w:rsidRPr="00025F8B">
        <w:rPr>
          <w:rFonts w:ascii="Cambria" w:hAnsi="Cambria"/>
        </w:rPr>
        <w:t xml:space="preserve"> tests</w:t>
      </w:r>
      <w:r w:rsidR="00064443" w:rsidRPr="00025F8B">
        <w:rPr>
          <w:rFonts w:ascii="Cambria" w:hAnsi="Cambria"/>
        </w:rPr>
        <w:t>”</w:t>
      </w:r>
      <w:r w:rsidR="00761064" w:rsidRPr="00025F8B">
        <w:rPr>
          <w:rFonts w:ascii="Cambria" w:hAnsi="Cambria"/>
        </w:rPr>
        <w:t xml:space="preserve">. </w:t>
      </w:r>
      <w:r w:rsidR="00FE5F5F" w:rsidRPr="00025F8B">
        <w:rPr>
          <w:rFonts w:ascii="Cambria" w:hAnsi="Cambria"/>
        </w:rPr>
        <w:t>Based on a discussion of the uniqueness</w:t>
      </w:r>
      <w:r w:rsidR="008F6CC1">
        <w:rPr>
          <w:rStyle w:val="FootnoteReference"/>
          <w:rFonts w:ascii="Cambria" w:hAnsi="Cambria"/>
        </w:rPr>
        <w:footnoteReference w:id="2"/>
      </w:r>
      <w:r w:rsidR="00FE5F5F" w:rsidRPr="00025F8B">
        <w:rPr>
          <w:rFonts w:ascii="Cambria" w:hAnsi="Cambria"/>
        </w:rPr>
        <w:t xml:space="preserve"> and certainty</w:t>
      </w:r>
      <w:r w:rsidR="008F6CC1">
        <w:rPr>
          <w:rStyle w:val="FootnoteReference"/>
          <w:rFonts w:ascii="Cambria" w:hAnsi="Cambria"/>
        </w:rPr>
        <w:footnoteReference w:id="3"/>
      </w:r>
      <w:r w:rsidR="00FE5F5F" w:rsidRPr="00025F8B">
        <w:rPr>
          <w:rFonts w:ascii="Cambria" w:hAnsi="Cambria"/>
        </w:rPr>
        <w:t xml:space="preserve"> of theoretical predictions (</w:t>
      </w:r>
      <w:r w:rsidR="00F21D49" w:rsidRPr="00025F8B">
        <w:rPr>
          <w:rFonts w:ascii="Cambria" w:hAnsi="Cambria"/>
        </w:rPr>
        <w:t xml:space="preserve">van Evera, 1997) or of </w:t>
      </w:r>
      <w:r w:rsidR="00FE5F5F" w:rsidRPr="00025F8B">
        <w:rPr>
          <w:rFonts w:ascii="Cambria" w:hAnsi="Cambria"/>
        </w:rPr>
        <w:t>the necessity</w:t>
      </w:r>
      <w:r w:rsidR="00006D8D">
        <w:rPr>
          <w:rStyle w:val="FootnoteReference"/>
          <w:rFonts w:ascii="Cambria" w:hAnsi="Cambria"/>
        </w:rPr>
        <w:footnoteReference w:id="4"/>
      </w:r>
      <w:r w:rsidR="00FE5F5F" w:rsidRPr="00025F8B">
        <w:rPr>
          <w:rFonts w:ascii="Cambria" w:hAnsi="Cambria"/>
        </w:rPr>
        <w:t xml:space="preserve"> and sufficiency</w:t>
      </w:r>
      <w:r w:rsidR="00006D8D">
        <w:rPr>
          <w:rStyle w:val="FootnoteReference"/>
          <w:rFonts w:ascii="Cambria" w:hAnsi="Cambria"/>
        </w:rPr>
        <w:footnoteReference w:id="5"/>
      </w:r>
      <w:r w:rsidR="00FE5F5F" w:rsidRPr="00025F8B">
        <w:rPr>
          <w:rFonts w:ascii="Cambria" w:hAnsi="Cambria"/>
        </w:rPr>
        <w:t xml:space="preserve"> of passing the test to establish causation </w:t>
      </w:r>
      <w:r w:rsidR="00F34251" w:rsidRPr="00025F8B">
        <w:rPr>
          <w:rFonts w:ascii="Cambria" w:hAnsi="Cambria"/>
        </w:rPr>
        <w:t>(Collier, 2011; Mahoney, 2012), methodologists have developed four types of process tracing tests:</w:t>
      </w:r>
    </w:p>
    <w:p w14:paraId="6D060760" w14:textId="688A7EAD" w:rsidR="008F0763" w:rsidRPr="00025F8B" w:rsidRDefault="00F21D49" w:rsidP="00FB4709">
      <w:pPr>
        <w:pStyle w:val="ListParagraph"/>
        <w:numPr>
          <w:ilvl w:val="0"/>
          <w:numId w:val="6"/>
        </w:numPr>
        <w:spacing w:after="120"/>
        <w:contextualSpacing w:val="0"/>
        <w:jc w:val="both"/>
        <w:rPr>
          <w:rFonts w:ascii="Cambria" w:hAnsi="Cambria"/>
        </w:rPr>
      </w:pPr>
      <w:r w:rsidRPr="00025F8B">
        <w:rPr>
          <w:rFonts w:ascii="Cambria" w:hAnsi="Cambria"/>
          <w:i/>
        </w:rPr>
        <w:t>straw-in-the-wind t</w:t>
      </w:r>
      <w:r w:rsidR="008F0763" w:rsidRPr="00025F8B">
        <w:rPr>
          <w:rFonts w:ascii="Cambria" w:hAnsi="Cambria"/>
          <w:i/>
        </w:rPr>
        <w:t>est</w:t>
      </w:r>
      <w:r w:rsidRPr="00025F8B">
        <w:rPr>
          <w:rFonts w:ascii="Cambria" w:hAnsi="Cambria"/>
        </w:rPr>
        <w:t xml:space="preserve"> (uniqueness/sufficiency</w:t>
      </w:r>
      <w:r w:rsidR="008F0763" w:rsidRPr="00025F8B">
        <w:rPr>
          <w:rFonts w:ascii="Cambria" w:hAnsi="Cambria"/>
        </w:rPr>
        <w:t>:</w:t>
      </w:r>
      <w:r w:rsidRPr="00025F8B">
        <w:rPr>
          <w:rFonts w:ascii="Cambria" w:hAnsi="Cambria"/>
        </w:rPr>
        <w:t xml:space="preserve"> NO; certainty/necessity: NO): P</w:t>
      </w:r>
      <w:r w:rsidR="008F0763" w:rsidRPr="00025F8B">
        <w:rPr>
          <w:rFonts w:ascii="Cambria" w:hAnsi="Cambria"/>
        </w:rPr>
        <w:t xml:space="preserve">assing </w:t>
      </w:r>
      <w:r w:rsidRPr="00025F8B">
        <w:rPr>
          <w:rFonts w:ascii="Cambria" w:hAnsi="Cambria"/>
        </w:rPr>
        <w:t>it slightly strengthens</w:t>
      </w:r>
      <w:r w:rsidR="00BD28F4" w:rsidRPr="00025F8B">
        <w:rPr>
          <w:rFonts w:ascii="Cambria" w:hAnsi="Cambria"/>
        </w:rPr>
        <w:t xml:space="preserve"> confidence in</w:t>
      </w:r>
      <w:r w:rsidRPr="00025F8B">
        <w:rPr>
          <w:rFonts w:ascii="Cambria" w:hAnsi="Cambria"/>
        </w:rPr>
        <w:t xml:space="preserve"> a hypothesis in question, </w:t>
      </w:r>
      <w:r w:rsidR="008F0763" w:rsidRPr="00025F8B">
        <w:rPr>
          <w:rFonts w:ascii="Cambria" w:hAnsi="Cambria"/>
        </w:rPr>
        <w:t>but does not confirm it</w:t>
      </w:r>
      <w:r w:rsidRPr="00025F8B">
        <w:rPr>
          <w:rFonts w:ascii="Cambria" w:hAnsi="Cambria"/>
        </w:rPr>
        <w:t>;</w:t>
      </w:r>
      <w:r w:rsidR="008F0763" w:rsidRPr="00025F8B">
        <w:rPr>
          <w:rFonts w:ascii="Cambria" w:hAnsi="Cambria"/>
        </w:rPr>
        <w:t xml:space="preserve"> Failing </w:t>
      </w:r>
      <w:r w:rsidRPr="00025F8B">
        <w:rPr>
          <w:rFonts w:ascii="Cambria" w:hAnsi="Cambria"/>
        </w:rPr>
        <w:t xml:space="preserve">it slightly </w:t>
      </w:r>
      <w:r w:rsidR="008F0763" w:rsidRPr="00025F8B">
        <w:rPr>
          <w:rFonts w:ascii="Cambria" w:hAnsi="Cambria"/>
        </w:rPr>
        <w:t xml:space="preserve">weakens </w:t>
      </w:r>
      <w:r w:rsidR="00BD28F4" w:rsidRPr="00025F8B">
        <w:rPr>
          <w:rFonts w:ascii="Cambria" w:hAnsi="Cambria"/>
        </w:rPr>
        <w:t xml:space="preserve">confidence in </w:t>
      </w:r>
      <w:r w:rsidR="008F0763" w:rsidRPr="00025F8B">
        <w:rPr>
          <w:rFonts w:ascii="Cambria" w:hAnsi="Cambria"/>
        </w:rPr>
        <w:t>the hypothesis, but does not eliminate it.</w:t>
      </w:r>
    </w:p>
    <w:p w14:paraId="1B55D5F4" w14:textId="242AB35A" w:rsidR="008F0763" w:rsidRPr="00025F8B" w:rsidRDefault="008F0763" w:rsidP="00FB4709">
      <w:pPr>
        <w:pStyle w:val="ListParagraph"/>
        <w:numPr>
          <w:ilvl w:val="0"/>
          <w:numId w:val="6"/>
        </w:numPr>
        <w:spacing w:after="120"/>
        <w:contextualSpacing w:val="0"/>
        <w:jc w:val="both"/>
        <w:rPr>
          <w:rFonts w:ascii="Cambria" w:hAnsi="Cambria"/>
        </w:rPr>
      </w:pPr>
      <w:r w:rsidRPr="00025F8B">
        <w:rPr>
          <w:rFonts w:ascii="Cambria" w:hAnsi="Cambria"/>
          <w:i/>
        </w:rPr>
        <w:t xml:space="preserve">Hoop </w:t>
      </w:r>
      <w:r w:rsidR="00FA00F7" w:rsidRPr="00025F8B">
        <w:rPr>
          <w:rFonts w:ascii="Cambria" w:hAnsi="Cambria"/>
          <w:i/>
        </w:rPr>
        <w:t>t</w:t>
      </w:r>
      <w:r w:rsidRPr="00025F8B">
        <w:rPr>
          <w:rFonts w:ascii="Cambria" w:hAnsi="Cambria"/>
          <w:i/>
        </w:rPr>
        <w:t>est</w:t>
      </w:r>
      <w:r w:rsidR="007A5713" w:rsidRPr="00025F8B">
        <w:rPr>
          <w:rFonts w:ascii="Cambria" w:hAnsi="Cambria"/>
        </w:rPr>
        <w:t xml:space="preserve"> (uniqueness/sufficiency: NO; certainty/necessity: YES)</w:t>
      </w:r>
      <w:r w:rsidRPr="00025F8B">
        <w:rPr>
          <w:rFonts w:ascii="Cambria" w:hAnsi="Cambria"/>
        </w:rPr>
        <w:t xml:space="preserve">: </w:t>
      </w:r>
      <w:r w:rsidR="007A5713" w:rsidRPr="00025F8B">
        <w:rPr>
          <w:rFonts w:ascii="Cambria" w:hAnsi="Cambria"/>
        </w:rPr>
        <w:t xml:space="preserve">          </w:t>
      </w:r>
      <w:r w:rsidRPr="00025F8B">
        <w:rPr>
          <w:rFonts w:ascii="Cambria" w:hAnsi="Cambria"/>
        </w:rPr>
        <w:t>Passing</w:t>
      </w:r>
      <w:r w:rsidR="007A5713" w:rsidRPr="00025F8B">
        <w:rPr>
          <w:rFonts w:ascii="Cambria" w:hAnsi="Cambria"/>
        </w:rPr>
        <w:t xml:space="preserve"> the test</w:t>
      </w:r>
      <w:r w:rsidRPr="00025F8B">
        <w:rPr>
          <w:rFonts w:ascii="Cambria" w:hAnsi="Cambria"/>
        </w:rPr>
        <w:t>,</w:t>
      </w:r>
      <w:r w:rsidR="007A5713" w:rsidRPr="00025F8B">
        <w:rPr>
          <w:rFonts w:ascii="Cambria" w:hAnsi="Cambria"/>
        </w:rPr>
        <w:t xml:space="preserve"> or “jumping”</w:t>
      </w:r>
      <w:r w:rsidRPr="00025F8B">
        <w:rPr>
          <w:rFonts w:ascii="Cambria" w:hAnsi="Cambria"/>
        </w:rPr>
        <w:t xml:space="preserve"> through the hoop, </w:t>
      </w:r>
      <w:r w:rsidR="007A5713" w:rsidRPr="00025F8B">
        <w:rPr>
          <w:rFonts w:ascii="Cambria" w:hAnsi="Cambria"/>
        </w:rPr>
        <w:t>strengthens</w:t>
      </w:r>
      <w:r w:rsidRPr="00025F8B">
        <w:rPr>
          <w:rFonts w:ascii="Cambria" w:hAnsi="Cambria"/>
        </w:rPr>
        <w:t xml:space="preserve"> </w:t>
      </w:r>
      <w:r w:rsidR="00BD28F4" w:rsidRPr="00025F8B">
        <w:rPr>
          <w:rFonts w:ascii="Cambria" w:hAnsi="Cambria"/>
        </w:rPr>
        <w:t xml:space="preserve">confidence in </w:t>
      </w:r>
      <w:r w:rsidRPr="00025F8B">
        <w:rPr>
          <w:rFonts w:ascii="Cambria" w:hAnsi="Cambria"/>
        </w:rPr>
        <w:t xml:space="preserve">the hypothesis but does not confirm it. </w:t>
      </w:r>
      <w:r w:rsidR="007A5713" w:rsidRPr="00025F8B">
        <w:rPr>
          <w:rFonts w:ascii="Cambria" w:hAnsi="Cambria"/>
        </w:rPr>
        <w:t>F</w:t>
      </w:r>
      <w:r w:rsidRPr="00025F8B">
        <w:rPr>
          <w:rFonts w:ascii="Cambria" w:hAnsi="Cambria"/>
        </w:rPr>
        <w:t>ail</w:t>
      </w:r>
      <w:r w:rsidR="007A5713" w:rsidRPr="00025F8B">
        <w:rPr>
          <w:rFonts w:ascii="Cambria" w:hAnsi="Cambria"/>
        </w:rPr>
        <w:t>ing</w:t>
      </w:r>
      <w:r w:rsidRPr="00025F8B">
        <w:rPr>
          <w:rFonts w:ascii="Cambria" w:hAnsi="Cambria"/>
        </w:rPr>
        <w:t xml:space="preserve"> the test</w:t>
      </w:r>
      <w:r w:rsidR="007A5713" w:rsidRPr="00025F8B">
        <w:rPr>
          <w:rFonts w:ascii="Cambria" w:hAnsi="Cambria"/>
        </w:rPr>
        <w:t xml:space="preserve"> </w:t>
      </w:r>
      <w:r w:rsidR="007A5713" w:rsidRPr="00025F8B">
        <w:rPr>
          <w:rFonts w:ascii="Cambria" w:hAnsi="Cambria"/>
          <w:i/>
        </w:rPr>
        <w:t>eliminates</w:t>
      </w:r>
      <w:r w:rsidRPr="00025F8B">
        <w:rPr>
          <w:rFonts w:ascii="Cambria" w:hAnsi="Cambria"/>
        </w:rPr>
        <w:t xml:space="preserve"> </w:t>
      </w:r>
      <w:r w:rsidR="007A5713" w:rsidRPr="00025F8B">
        <w:rPr>
          <w:rFonts w:ascii="Cambria" w:hAnsi="Cambria"/>
        </w:rPr>
        <w:t>the hypothesis</w:t>
      </w:r>
      <w:r w:rsidRPr="00025F8B">
        <w:rPr>
          <w:rFonts w:ascii="Cambria" w:hAnsi="Cambria"/>
        </w:rPr>
        <w:t>.</w:t>
      </w:r>
    </w:p>
    <w:p w14:paraId="5C1F4E01" w14:textId="537EBA0B" w:rsidR="007A5713" w:rsidRPr="00025F8B" w:rsidRDefault="007A5713" w:rsidP="00FB4709">
      <w:pPr>
        <w:pStyle w:val="ListParagraph"/>
        <w:numPr>
          <w:ilvl w:val="0"/>
          <w:numId w:val="6"/>
        </w:numPr>
        <w:spacing w:after="120"/>
        <w:contextualSpacing w:val="0"/>
        <w:jc w:val="both"/>
        <w:rPr>
          <w:rFonts w:ascii="Cambria" w:hAnsi="Cambria"/>
        </w:rPr>
      </w:pPr>
      <w:r w:rsidRPr="00025F8B">
        <w:rPr>
          <w:rFonts w:ascii="Cambria" w:hAnsi="Cambria"/>
          <w:i/>
        </w:rPr>
        <w:t>s</w:t>
      </w:r>
      <w:r w:rsidR="008F0763" w:rsidRPr="00025F8B">
        <w:rPr>
          <w:rFonts w:ascii="Cambria" w:hAnsi="Cambria"/>
          <w:i/>
        </w:rPr>
        <w:t>moking-</w:t>
      </w:r>
      <w:r w:rsidRPr="00025F8B">
        <w:rPr>
          <w:rFonts w:ascii="Cambria" w:hAnsi="Cambria"/>
          <w:i/>
        </w:rPr>
        <w:t>g</w:t>
      </w:r>
      <w:r w:rsidR="008F0763" w:rsidRPr="00025F8B">
        <w:rPr>
          <w:rFonts w:ascii="Cambria" w:hAnsi="Cambria"/>
          <w:i/>
        </w:rPr>
        <w:t xml:space="preserve">un </w:t>
      </w:r>
      <w:r w:rsidRPr="00025F8B">
        <w:rPr>
          <w:rFonts w:ascii="Cambria" w:hAnsi="Cambria"/>
          <w:i/>
        </w:rPr>
        <w:t>t</w:t>
      </w:r>
      <w:r w:rsidR="008F0763" w:rsidRPr="00025F8B">
        <w:rPr>
          <w:rFonts w:ascii="Cambria" w:hAnsi="Cambria"/>
          <w:i/>
        </w:rPr>
        <w:t>est</w:t>
      </w:r>
      <w:r w:rsidRPr="00025F8B">
        <w:rPr>
          <w:rFonts w:ascii="Cambria" w:hAnsi="Cambria"/>
        </w:rPr>
        <w:t xml:space="preserve"> (uniqueness/sufficiency: YES; certainty/necessity: NO)</w:t>
      </w:r>
      <w:r w:rsidR="008F0763" w:rsidRPr="00025F8B">
        <w:rPr>
          <w:rFonts w:ascii="Cambria" w:hAnsi="Cambria"/>
        </w:rPr>
        <w:t xml:space="preserve">: Passing </w:t>
      </w:r>
      <w:r w:rsidRPr="00025F8B">
        <w:rPr>
          <w:rFonts w:ascii="Cambria" w:hAnsi="Cambria"/>
        </w:rPr>
        <w:t xml:space="preserve">the test </w:t>
      </w:r>
      <w:r w:rsidR="008F0763" w:rsidRPr="00025F8B">
        <w:rPr>
          <w:rFonts w:ascii="Cambria" w:hAnsi="Cambria"/>
        </w:rPr>
        <w:t>confirms the hypothesis. Failing</w:t>
      </w:r>
      <w:r w:rsidR="00E05352" w:rsidRPr="00025F8B">
        <w:rPr>
          <w:rFonts w:ascii="Cambria" w:hAnsi="Cambria"/>
        </w:rPr>
        <w:t xml:space="preserve"> the test</w:t>
      </w:r>
      <w:r w:rsidR="008F0763" w:rsidRPr="00025F8B">
        <w:rPr>
          <w:rFonts w:ascii="Cambria" w:hAnsi="Cambria"/>
        </w:rPr>
        <w:t xml:space="preserve"> does not eliminate the hypothesis.</w:t>
      </w:r>
    </w:p>
    <w:p w14:paraId="0D6EEDA8" w14:textId="112242A8" w:rsidR="008F0763" w:rsidRPr="00025F8B" w:rsidRDefault="00E05352" w:rsidP="00FB4709">
      <w:pPr>
        <w:pStyle w:val="ListParagraph"/>
        <w:numPr>
          <w:ilvl w:val="0"/>
          <w:numId w:val="6"/>
        </w:numPr>
        <w:spacing w:after="120"/>
        <w:contextualSpacing w:val="0"/>
        <w:jc w:val="both"/>
        <w:rPr>
          <w:rFonts w:ascii="Cambria" w:hAnsi="Cambria"/>
        </w:rPr>
      </w:pPr>
      <w:r w:rsidRPr="00025F8B">
        <w:rPr>
          <w:rFonts w:ascii="Cambria" w:hAnsi="Cambria"/>
          <w:i/>
        </w:rPr>
        <w:t>doubly-decisive t</w:t>
      </w:r>
      <w:r w:rsidR="008F0763" w:rsidRPr="00025F8B">
        <w:rPr>
          <w:rFonts w:ascii="Cambria" w:hAnsi="Cambria"/>
          <w:i/>
        </w:rPr>
        <w:t>est</w:t>
      </w:r>
      <w:r w:rsidR="007A5713" w:rsidRPr="00025F8B">
        <w:rPr>
          <w:rFonts w:ascii="Cambria" w:hAnsi="Cambria"/>
        </w:rPr>
        <w:t xml:space="preserve"> (uniqueness/sufficiency: YES; certainty/necessity: YES)</w:t>
      </w:r>
      <w:r w:rsidR="008F0763" w:rsidRPr="00025F8B">
        <w:rPr>
          <w:rFonts w:ascii="Cambria" w:hAnsi="Cambria"/>
        </w:rPr>
        <w:t>: Passing</w:t>
      </w:r>
      <w:r w:rsidRPr="00025F8B">
        <w:rPr>
          <w:rFonts w:ascii="Cambria" w:hAnsi="Cambria"/>
        </w:rPr>
        <w:t xml:space="preserve"> the test</w:t>
      </w:r>
      <w:r w:rsidR="008F0763" w:rsidRPr="00025F8B">
        <w:rPr>
          <w:rFonts w:ascii="Cambria" w:hAnsi="Cambria"/>
        </w:rPr>
        <w:t xml:space="preserve"> confirms the hypothesis and eliminates rivals.</w:t>
      </w:r>
    </w:p>
    <w:p w14:paraId="40B8A426" w14:textId="62EA9D5F" w:rsidR="00D4667F" w:rsidRPr="00025F8B" w:rsidRDefault="00246D22" w:rsidP="00FB4709">
      <w:pPr>
        <w:jc w:val="both"/>
        <w:rPr>
          <w:rFonts w:ascii="Cambria" w:hAnsi="Cambria"/>
        </w:rPr>
      </w:pPr>
      <w:r w:rsidRPr="00025F8B">
        <w:rPr>
          <w:rFonts w:ascii="Cambria" w:hAnsi="Cambria"/>
        </w:rPr>
        <w:t xml:space="preserve">These tests have been rarely used </w:t>
      </w:r>
      <w:r w:rsidR="004233E1">
        <w:rPr>
          <w:rFonts w:ascii="Cambria" w:hAnsi="Cambria"/>
        </w:rPr>
        <w:t>in an explicit manner</w:t>
      </w:r>
      <w:r w:rsidRPr="00025F8B">
        <w:rPr>
          <w:rFonts w:ascii="Cambria" w:hAnsi="Cambria"/>
        </w:rPr>
        <w:t xml:space="preserve"> in published process tracing research (e.g. Fairfield, 2013) </w:t>
      </w:r>
      <w:r w:rsidR="004C1868" w:rsidRPr="00025F8B">
        <w:rPr>
          <w:rFonts w:ascii="Cambria" w:hAnsi="Cambria"/>
        </w:rPr>
        <w:t>and there are discussions about how rigidly the necessity/certainty and sufficiency/uniqueness dimensions should be interpreted</w:t>
      </w:r>
      <w:r w:rsidR="00F979BA" w:rsidRPr="00025F8B">
        <w:rPr>
          <w:rFonts w:ascii="Cambria" w:hAnsi="Cambria"/>
        </w:rPr>
        <w:t xml:space="preserve"> (Ibid., p. 55)</w:t>
      </w:r>
      <w:r w:rsidR="004C1868" w:rsidRPr="00025F8B">
        <w:rPr>
          <w:rFonts w:ascii="Cambria" w:hAnsi="Cambria"/>
        </w:rPr>
        <w:t>.</w:t>
      </w:r>
      <w:r w:rsidR="00177C7C" w:rsidRPr="00025F8B">
        <w:rPr>
          <w:rFonts w:ascii="Cambria" w:hAnsi="Cambria"/>
        </w:rPr>
        <w:t xml:space="preserve"> However, the key take-away is that different pieces of evidence can more or less strongly strengthen or weaken</w:t>
      </w:r>
      <w:r w:rsidR="00D91824" w:rsidRPr="00025F8B">
        <w:rPr>
          <w:rFonts w:ascii="Cambria" w:hAnsi="Cambria"/>
        </w:rPr>
        <w:t xml:space="preserve"> (or increase or decrease our degree of belief in)</w:t>
      </w:r>
      <w:r w:rsidR="00177C7C" w:rsidRPr="00025F8B">
        <w:rPr>
          <w:rFonts w:ascii="Cambria" w:hAnsi="Cambria"/>
        </w:rPr>
        <w:t xml:space="preserve"> a specific hypothesis</w:t>
      </w:r>
      <w:r w:rsidR="00A9370D" w:rsidRPr="00025F8B">
        <w:rPr>
          <w:rFonts w:ascii="Cambria" w:hAnsi="Cambria"/>
        </w:rPr>
        <w:t xml:space="preserve">. </w:t>
      </w:r>
      <w:r w:rsidR="003F692A" w:rsidRPr="00025F8B">
        <w:rPr>
          <w:rFonts w:ascii="Cambria" w:hAnsi="Cambria"/>
        </w:rPr>
        <w:t>In practice: process tracers would extremely rarely – if ever – claim that a piece of evidence would pass a doubly decisive test; the straw-in-the-wind test is not considered particularly useful since it does not significantly increase/decrease confidence in alternative explanation</w:t>
      </w:r>
      <w:r w:rsidR="00740887">
        <w:rPr>
          <w:rFonts w:ascii="Cambria" w:hAnsi="Cambria"/>
        </w:rPr>
        <w:t>s</w:t>
      </w:r>
      <w:r w:rsidR="003F692A" w:rsidRPr="00025F8B">
        <w:rPr>
          <w:rFonts w:ascii="Cambria" w:hAnsi="Cambria"/>
        </w:rPr>
        <w:t>; hence, the analytical focus is typically on hoo</w:t>
      </w:r>
      <w:r w:rsidR="00EE719E" w:rsidRPr="00025F8B">
        <w:rPr>
          <w:rFonts w:ascii="Cambria" w:hAnsi="Cambria"/>
        </w:rPr>
        <w:t>p tests and smoking-gun tests since</w:t>
      </w:r>
      <w:r w:rsidR="003F692A" w:rsidRPr="00025F8B">
        <w:rPr>
          <w:rFonts w:ascii="Cambria" w:hAnsi="Cambria"/>
        </w:rPr>
        <w:t xml:space="preserve"> failing a hoop test </w:t>
      </w:r>
      <w:r w:rsidR="00EE719E" w:rsidRPr="00025F8B">
        <w:rPr>
          <w:rFonts w:ascii="Cambria" w:hAnsi="Cambria"/>
        </w:rPr>
        <w:t>can help eliminate a rival hypothesis while pass</w:t>
      </w:r>
      <w:r w:rsidR="00400187">
        <w:rPr>
          <w:rFonts w:ascii="Cambria" w:hAnsi="Cambria"/>
        </w:rPr>
        <w:t>ing</w:t>
      </w:r>
      <w:r w:rsidR="00EE719E" w:rsidRPr="00025F8B">
        <w:rPr>
          <w:rFonts w:ascii="Cambria" w:hAnsi="Cambria"/>
        </w:rPr>
        <w:t xml:space="preserve"> a smoking-gun test can help confirm – or, at least, significantly increase one’s confidence</w:t>
      </w:r>
      <w:r w:rsidR="00501DC1">
        <w:rPr>
          <w:rFonts w:ascii="Cambria" w:hAnsi="Cambria"/>
        </w:rPr>
        <w:t xml:space="preserve"> in</w:t>
      </w:r>
      <w:r w:rsidR="00EE719E" w:rsidRPr="00025F8B">
        <w:rPr>
          <w:rFonts w:ascii="Cambria" w:hAnsi="Cambria"/>
        </w:rPr>
        <w:t xml:space="preserve"> –</w:t>
      </w:r>
      <w:r w:rsidR="00501DC1">
        <w:rPr>
          <w:rFonts w:ascii="Cambria" w:hAnsi="Cambria"/>
        </w:rPr>
        <w:t xml:space="preserve"> </w:t>
      </w:r>
      <w:r w:rsidR="00EE719E" w:rsidRPr="00025F8B">
        <w:rPr>
          <w:rFonts w:ascii="Cambria" w:hAnsi="Cambria"/>
        </w:rPr>
        <w:t xml:space="preserve">one’s specific hypothesis. </w:t>
      </w:r>
      <w:r w:rsidR="004233E1">
        <w:rPr>
          <w:rFonts w:ascii="Cambria" w:hAnsi="Cambria"/>
        </w:rPr>
        <w:t>Since</w:t>
      </w:r>
      <w:r w:rsidR="00A9370D" w:rsidRPr="00025F8B">
        <w:rPr>
          <w:rFonts w:ascii="Cambria" w:hAnsi="Cambria"/>
        </w:rPr>
        <w:t xml:space="preserve"> </w:t>
      </w:r>
      <w:r w:rsidR="00166680" w:rsidRPr="00025F8B">
        <w:rPr>
          <w:rFonts w:ascii="Cambria" w:hAnsi="Cambria"/>
        </w:rPr>
        <w:t>the prior for my hypothesis on comprador bankers is reasonably speaking quite low</w:t>
      </w:r>
      <w:r w:rsidR="00177C7C" w:rsidRPr="00025F8B">
        <w:rPr>
          <w:rFonts w:ascii="Cambria" w:hAnsi="Cambria"/>
        </w:rPr>
        <w:t xml:space="preserve"> </w:t>
      </w:r>
      <w:r w:rsidR="00166680" w:rsidRPr="00025F8B">
        <w:rPr>
          <w:rFonts w:ascii="Cambria" w:hAnsi="Cambria"/>
        </w:rPr>
        <w:t>whereas prior</w:t>
      </w:r>
      <w:r w:rsidR="00EE719E" w:rsidRPr="00025F8B">
        <w:rPr>
          <w:rFonts w:ascii="Cambria" w:hAnsi="Cambria"/>
        </w:rPr>
        <w:t>s</w:t>
      </w:r>
      <w:r w:rsidR="00166680" w:rsidRPr="00025F8B">
        <w:rPr>
          <w:rFonts w:ascii="Cambria" w:hAnsi="Cambria"/>
        </w:rPr>
        <w:t xml:space="preserve"> for </w:t>
      </w:r>
      <w:r w:rsidR="00EE719E" w:rsidRPr="00025F8B">
        <w:rPr>
          <w:rFonts w:ascii="Cambria" w:hAnsi="Cambria"/>
        </w:rPr>
        <w:t>most rival hypotheses</w:t>
      </w:r>
      <w:r w:rsidR="00166680" w:rsidRPr="00025F8B">
        <w:rPr>
          <w:rFonts w:ascii="Cambria" w:hAnsi="Cambria"/>
        </w:rPr>
        <w:t xml:space="preserve"> – </w:t>
      </w:r>
      <w:r w:rsidR="00EE719E" w:rsidRPr="00025F8B">
        <w:rPr>
          <w:rFonts w:ascii="Cambria" w:hAnsi="Cambria"/>
        </w:rPr>
        <w:t xml:space="preserve">particularly </w:t>
      </w:r>
      <w:r w:rsidR="00B100EA">
        <w:rPr>
          <w:rFonts w:ascii="Cambria" w:hAnsi="Cambria"/>
        </w:rPr>
        <w:t xml:space="preserve">for </w:t>
      </w:r>
      <w:r w:rsidR="00EE719E" w:rsidRPr="00025F8B">
        <w:rPr>
          <w:rFonts w:ascii="Cambria" w:hAnsi="Cambria"/>
        </w:rPr>
        <w:t>a t</w:t>
      </w:r>
      <w:r w:rsidR="00166680" w:rsidRPr="00025F8B">
        <w:rPr>
          <w:rFonts w:ascii="Cambria" w:hAnsi="Cambria"/>
        </w:rPr>
        <w:t xml:space="preserve">op-down state co-option or coercion of business – </w:t>
      </w:r>
      <w:r w:rsidR="00EE719E" w:rsidRPr="00025F8B">
        <w:rPr>
          <w:rFonts w:ascii="Cambria" w:hAnsi="Cambria"/>
        </w:rPr>
        <w:t>are much higher</w:t>
      </w:r>
      <w:r w:rsidR="004233E1">
        <w:rPr>
          <w:rFonts w:ascii="Cambria" w:hAnsi="Cambria"/>
        </w:rPr>
        <w:t xml:space="preserve"> (see next section)</w:t>
      </w:r>
      <w:r w:rsidR="00166680" w:rsidRPr="00025F8B">
        <w:rPr>
          <w:rFonts w:ascii="Cambria" w:hAnsi="Cambria"/>
        </w:rPr>
        <w:t xml:space="preserve">, </w:t>
      </w:r>
      <w:r w:rsidR="00581188" w:rsidRPr="00025F8B">
        <w:rPr>
          <w:rFonts w:ascii="Cambria" w:hAnsi="Cambria"/>
        </w:rPr>
        <w:t>I have develo</w:t>
      </w:r>
      <w:r w:rsidR="00536EB4">
        <w:rPr>
          <w:rFonts w:ascii="Cambria" w:hAnsi="Cambria"/>
        </w:rPr>
        <w:t>ped two very simple hoop tests</w:t>
      </w:r>
      <w:r w:rsidR="00581188" w:rsidRPr="00025F8B">
        <w:rPr>
          <w:rFonts w:ascii="Cambria" w:hAnsi="Cambria"/>
        </w:rPr>
        <w:t xml:space="preserve"> to help </w:t>
      </w:r>
      <w:r w:rsidR="005145FA" w:rsidRPr="00025F8B">
        <w:rPr>
          <w:rFonts w:ascii="Cambria" w:hAnsi="Cambria"/>
        </w:rPr>
        <w:t>sift out genuinely plausible explanations from implausible explanations.</w:t>
      </w:r>
      <w:r w:rsidR="00536EB4">
        <w:rPr>
          <w:rFonts w:ascii="Cambria" w:hAnsi="Cambria"/>
        </w:rPr>
        <w:t xml:space="preserve"> </w:t>
      </w:r>
      <w:r w:rsidR="00536EB4" w:rsidRPr="00051210">
        <w:rPr>
          <w:rFonts w:ascii="Cambria" w:hAnsi="Cambria"/>
        </w:rPr>
        <w:t>Based on two central concepts of criminal law in common law systems, I</w:t>
      </w:r>
      <w:r w:rsidR="006224A2">
        <w:rPr>
          <w:rFonts w:ascii="Cambria" w:hAnsi="Cambria"/>
        </w:rPr>
        <w:t xml:space="preserve"> call them the “guilty mind” (</w:t>
      </w:r>
      <w:r w:rsidR="006224A2" w:rsidRPr="006224A2">
        <w:rPr>
          <w:rFonts w:ascii="Cambria" w:hAnsi="Cambria"/>
          <w:i/>
        </w:rPr>
        <w:t>mens rea</w:t>
      </w:r>
      <w:r w:rsidR="00536EB4" w:rsidRPr="00051210">
        <w:rPr>
          <w:rFonts w:ascii="Cambria" w:hAnsi="Cambria"/>
        </w:rPr>
        <w:t>) and “</w:t>
      </w:r>
      <w:r w:rsidR="006224A2">
        <w:rPr>
          <w:rFonts w:ascii="Cambria" w:hAnsi="Cambria"/>
        </w:rPr>
        <w:t>guilty act</w:t>
      </w:r>
      <w:r w:rsidR="00536EB4" w:rsidRPr="00051210">
        <w:rPr>
          <w:rFonts w:ascii="Cambria" w:hAnsi="Cambria"/>
        </w:rPr>
        <w:t>” (</w:t>
      </w:r>
      <w:r w:rsidR="006224A2" w:rsidRPr="006224A2">
        <w:rPr>
          <w:rFonts w:ascii="Cambria" w:hAnsi="Cambria"/>
          <w:i/>
        </w:rPr>
        <w:t>actus reus</w:t>
      </w:r>
      <w:r w:rsidR="00536EB4" w:rsidRPr="00051210">
        <w:rPr>
          <w:rFonts w:ascii="Cambria" w:hAnsi="Cambria"/>
        </w:rPr>
        <w:t>) hoop tests</w:t>
      </w:r>
      <w:r w:rsidR="00051210">
        <w:rPr>
          <w:rFonts w:ascii="Cambria" w:hAnsi="Cambria"/>
        </w:rPr>
        <w:t>.</w:t>
      </w:r>
      <w:r w:rsidR="005145FA" w:rsidRPr="00051210">
        <w:rPr>
          <w:rFonts w:ascii="Cambria" w:hAnsi="Cambria"/>
        </w:rPr>
        <w:t xml:space="preserve"> I </w:t>
      </w:r>
      <w:r w:rsidR="00BC72B7" w:rsidRPr="00051210">
        <w:rPr>
          <w:rFonts w:ascii="Cambria" w:hAnsi="Cambria"/>
        </w:rPr>
        <w:t>specify</w:t>
      </w:r>
      <w:r w:rsidR="005145FA" w:rsidRPr="00051210">
        <w:rPr>
          <w:rFonts w:ascii="Cambria" w:hAnsi="Cambria"/>
        </w:rPr>
        <w:t xml:space="preserve"> the</w:t>
      </w:r>
      <w:r w:rsidR="00051210">
        <w:rPr>
          <w:rFonts w:ascii="Cambria" w:hAnsi="Cambria"/>
        </w:rPr>
        <w:t>m</w:t>
      </w:r>
      <w:r w:rsidR="00BC72B7" w:rsidRPr="00051210">
        <w:rPr>
          <w:rFonts w:ascii="Cambria" w:hAnsi="Cambria"/>
        </w:rPr>
        <w:t xml:space="preserve"> in the third section of this appendix.</w:t>
      </w:r>
      <w:r w:rsidR="00051210">
        <w:rPr>
          <w:rFonts w:ascii="Cambria" w:hAnsi="Cambria"/>
        </w:rPr>
        <w:t xml:space="preserve"> </w:t>
      </w:r>
      <w:r w:rsidR="0084661C">
        <w:rPr>
          <w:rFonts w:ascii="Cambria" w:hAnsi="Cambria"/>
        </w:rPr>
        <w:t xml:space="preserve">Building on the crime analogy, </w:t>
      </w:r>
      <w:r w:rsidR="00051210">
        <w:rPr>
          <w:rFonts w:ascii="Cambria" w:hAnsi="Cambria"/>
        </w:rPr>
        <w:t>I then discuss</w:t>
      </w:r>
      <w:r w:rsidR="0084661C">
        <w:rPr>
          <w:rFonts w:ascii="Cambria" w:hAnsi="Cambria"/>
        </w:rPr>
        <w:t xml:space="preserve"> my approach to finding </w:t>
      </w:r>
      <w:r w:rsidR="001629E5">
        <w:rPr>
          <w:rFonts w:ascii="Cambria" w:hAnsi="Cambria"/>
        </w:rPr>
        <w:t>a potential “mastermind(s)” (a potential</w:t>
      </w:r>
      <w:r w:rsidR="0084661C">
        <w:rPr>
          <w:rFonts w:ascii="Cambria" w:hAnsi="Cambria"/>
        </w:rPr>
        <w:t xml:space="preserve"> </w:t>
      </w:r>
      <w:r w:rsidR="0084661C" w:rsidRPr="0084661C">
        <w:rPr>
          <w:rFonts w:ascii="Cambria" w:hAnsi="Cambria"/>
          <w:i/>
        </w:rPr>
        <w:t>who</w:t>
      </w:r>
      <w:r w:rsidR="0084661C">
        <w:rPr>
          <w:rFonts w:ascii="Cambria" w:hAnsi="Cambria"/>
        </w:rPr>
        <w:t xml:space="preserve"> that mobilizes other actors into action) in the fourth section.</w:t>
      </w:r>
    </w:p>
    <w:p w14:paraId="1557F5A8" w14:textId="08058D77" w:rsidR="00D4667F" w:rsidRPr="00025F8B" w:rsidRDefault="00D4667F" w:rsidP="00FB4709">
      <w:pPr>
        <w:pStyle w:val="Heading1"/>
        <w:jc w:val="both"/>
        <w:rPr>
          <w:rFonts w:ascii="Cambria" w:hAnsi="Cambria"/>
          <w:color w:val="auto"/>
          <w:sz w:val="24"/>
          <w:szCs w:val="24"/>
        </w:rPr>
      </w:pPr>
      <w:bookmarkStart w:id="1" w:name="_Toc470355597"/>
      <w:r w:rsidRPr="00025F8B">
        <w:rPr>
          <w:rFonts w:ascii="Cambria" w:hAnsi="Cambria"/>
          <w:color w:val="auto"/>
          <w:sz w:val="24"/>
          <w:szCs w:val="24"/>
        </w:rPr>
        <w:t>A.4.2. Specifying priors on alternative hypotheses</w:t>
      </w:r>
      <w:bookmarkEnd w:id="1"/>
    </w:p>
    <w:p w14:paraId="067E1AED" w14:textId="77777777" w:rsidR="00D4667F" w:rsidRPr="00025F8B" w:rsidRDefault="00D4667F" w:rsidP="00FB4709">
      <w:pPr>
        <w:jc w:val="both"/>
        <w:rPr>
          <w:rFonts w:ascii="Cambria" w:hAnsi="Cambria"/>
        </w:rPr>
      </w:pPr>
    </w:p>
    <w:p w14:paraId="2EDBB6C3" w14:textId="0521AA95" w:rsidR="00D4667F" w:rsidRPr="00025F8B" w:rsidRDefault="00270281" w:rsidP="00FB4709">
      <w:pPr>
        <w:jc w:val="both"/>
        <w:rPr>
          <w:rFonts w:ascii="Cambria" w:hAnsi="Cambria"/>
        </w:rPr>
      </w:pPr>
      <w:r w:rsidRPr="00025F8B">
        <w:rPr>
          <w:rFonts w:ascii="Cambria" w:hAnsi="Cambria"/>
        </w:rPr>
        <w:t>In this paper</w:t>
      </w:r>
      <w:r w:rsidR="0084661C">
        <w:rPr>
          <w:rFonts w:ascii="Cambria" w:hAnsi="Cambria"/>
        </w:rPr>
        <w:t>, I have not only developed and – through a</w:t>
      </w:r>
      <w:r w:rsidRPr="00025F8B">
        <w:rPr>
          <w:rFonts w:ascii="Cambria" w:hAnsi="Cambria"/>
        </w:rPr>
        <w:t xml:space="preserve"> constant search for additio</w:t>
      </w:r>
      <w:r w:rsidR="0084661C">
        <w:rPr>
          <w:rFonts w:ascii="Cambria" w:hAnsi="Cambria"/>
        </w:rPr>
        <w:t xml:space="preserve">nal </w:t>
      </w:r>
      <w:r w:rsidR="0066188E">
        <w:rPr>
          <w:rFonts w:ascii="Cambria" w:hAnsi="Cambria"/>
        </w:rPr>
        <w:t>CPOs</w:t>
      </w:r>
      <w:r w:rsidR="0084661C">
        <w:rPr>
          <w:rFonts w:ascii="Cambria" w:hAnsi="Cambria"/>
        </w:rPr>
        <w:t xml:space="preserve"> –</w:t>
      </w:r>
      <w:r w:rsidRPr="00025F8B">
        <w:rPr>
          <w:rFonts w:ascii="Cambria" w:hAnsi="Cambria"/>
        </w:rPr>
        <w:t xml:space="preserve"> tested my own hypothesis about </w:t>
      </w:r>
      <w:r w:rsidR="00B16982" w:rsidRPr="00025F8B">
        <w:rPr>
          <w:rFonts w:ascii="Cambria" w:hAnsi="Cambria"/>
        </w:rPr>
        <w:t xml:space="preserve">the role of comprador bankers in co-opting other </w:t>
      </w:r>
      <w:r w:rsidR="0084661C">
        <w:rPr>
          <w:rFonts w:ascii="Cambria" w:hAnsi="Cambria"/>
        </w:rPr>
        <w:t>actors</w:t>
      </w:r>
      <w:r w:rsidR="00B16982" w:rsidRPr="00025F8B">
        <w:rPr>
          <w:rFonts w:ascii="Cambria" w:hAnsi="Cambria"/>
        </w:rPr>
        <w:t xml:space="preserve"> into </w:t>
      </w:r>
      <w:r w:rsidR="009741EA" w:rsidRPr="00025F8B">
        <w:rPr>
          <w:rFonts w:ascii="Cambria" w:hAnsi="Cambria"/>
        </w:rPr>
        <w:t>a new developmental alliance and policies. I have also tested a range of rival hypotheses</w:t>
      </w:r>
      <w:r w:rsidR="00477D27" w:rsidRPr="00025F8B">
        <w:rPr>
          <w:rFonts w:ascii="Cambria" w:hAnsi="Cambria"/>
        </w:rPr>
        <w:t xml:space="preserve"> about which actor might be the driving force behind </w:t>
      </w:r>
      <w:r w:rsidR="00D63596">
        <w:rPr>
          <w:rFonts w:ascii="Cambria" w:hAnsi="Cambria"/>
        </w:rPr>
        <w:t xml:space="preserve">developmental </w:t>
      </w:r>
      <w:r w:rsidR="00477D27" w:rsidRPr="00025F8B">
        <w:rPr>
          <w:rFonts w:ascii="Cambria" w:hAnsi="Cambria"/>
        </w:rPr>
        <w:t>coalition- and institution-building</w:t>
      </w:r>
      <w:r w:rsidR="009741EA" w:rsidRPr="00025F8B">
        <w:rPr>
          <w:rFonts w:ascii="Cambria" w:hAnsi="Cambria"/>
        </w:rPr>
        <w:t xml:space="preserve">. In the </w:t>
      </w:r>
      <w:r w:rsidR="005F1D3E" w:rsidRPr="00025F8B">
        <w:rPr>
          <w:rFonts w:ascii="Cambria" w:hAnsi="Cambria"/>
        </w:rPr>
        <w:t xml:space="preserve">table below, I list each </w:t>
      </w:r>
      <w:r w:rsidR="00477D27" w:rsidRPr="00025F8B">
        <w:rPr>
          <w:rFonts w:ascii="Cambria" w:hAnsi="Cambria"/>
        </w:rPr>
        <w:t>actor one by one</w:t>
      </w:r>
      <w:r w:rsidR="005F1D3E" w:rsidRPr="00025F8B">
        <w:rPr>
          <w:rFonts w:ascii="Cambria" w:hAnsi="Cambria"/>
        </w:rPr>
        <w:t xml:space="preserve"> and</w:t>
      </w:r>
      <w:r w:rsidR="00477D27" w:rsidRPr="00025F8B">
        <w:rPr>
          <w:rFonts w:ascii="Cambria" w:hAnsi="Cambria"/>
        </w:rPr>
        <w:t xml:space="preserve"> discuss</w:t>
      </w:r>
      <w:r w:rsidR="005F1D3E" w:rsidRPr="00025F8B">
        <w:rPr>
          <w:rFonts w:ascii="Cambria" w:hAnsi="Cambria"/>
        </w:rPr>
        <w:t>, firstly,</w:t>
      </w:r>
      <w:r w:rsidR="009741EA" w:rsidRPr="00025F8B">
        <w:rPr>
          <w:rFonts w:ascii="Cambria" w:hAnsi="Cambria"/>
        </w:rPr>
        <w:t xml:space="preserve"> </w:t>
      </w:r>
      <w:r w:rsidR="005F1D3E" w:rsidRPr="00025F8B">
        <w:rPr>
          <w:rFonts w:ascii="Cambria" w:hAnsi="Cambria"/>
        </w:rPr>
        <w:t xml:space="preserve">the “prior” for </w:t>
      </w:r>
      <w:r w:rsidR="00477D27" w:rsidRPr="00025F8B">
        <w:rPr>
          <w:rFonts w:ascii="Cambria" w:hAnsi="Cambria"/>
        </w:rPr>
        <w:t>their being the driving force (regardless of whether they mobilize other actors by coopting or coercing them)</w:t>
      </w:r>
      <w:r w:rsidR="005F1D3E" w:rsidRPr="00025F8B">
        <w:rPr>
          <w:rFonts w:ascii="Cambria" w:hAnsi="Cambria"/>
        </w:rPr>
        <w:t xml:space="preserve"> based on </w:t>
      </w:r>
      <w:r w:rsidR="00D63596">
        <w:rPr>
          <w:rFonts w:ascii="Cambria" w:hAnsi="Cambria"/>
        </w:rPr>
        <w:t>my reading</w:t>
      </w:r>
      <w:r w:rsidR="005F1D3E" w:rsidRPr="00025F8B">
        <w:rPr>
          <w:rFonts w:ascii="Cambria" w:hAnsi="Cambria"/>
        </w:rPr>
        <w:t xml:space="preserve"> of</w:t>
      </w:r>
      <w:r w:rsidR="00D63596">
        <w:rPr>
          <w:rFonts w:ascii="Cambria" w:hAnsi="Cambria"/>
        </w:rPr>
        <w:t xml:space="preserve"> the</w:t>
      </w:r>
      <w:r w:rsidR="005F1D3E" w:rsidRPr="00025F8B">
        <w:rPr>
          <w:rFonts w:ascii="Cambria" w:hAnsi="Cambria"/>
        </w:rPr>
        <w:t xml:space="preserve"> literature on the politics of “old” and “new” developmentalism. Secondly, I discuss how my own “prior” for each hypothesis would be updated based on</w:t>
      </w:r>
      <w:r w:rsidR="000A5A08" w:rsidRPr="00025F8B">
        <w:rPr>
          <w:rFonts w:ascii="Cambria" w:hAnsi="Cambria"/>
        </w:rPr>
        <w:t xml:space="preserve"> – theoretical and empirical –</w:t>
      </w:r>
      <w:r w:rsidR="005F1D3E" w:rsidRPr="00025F8B">
        <w:rPr>
          <w:rFonts w:ascii="Cambria" w:hAnsi="Cambria"/>
        </w:rPr>
        <w:t xml:space="preserve"> knowledge of the Polish context. </w:t>
      </w:r>
      <w:r w:rsidR="00D25C2E" w:rsidRPr="00025F8B">
        <w:rPr>
          <w:rFonts w:ascii="Cambria" w:hAnsi="Cambria"/>
        </w:rPr>
        <w:t xml:space="preserve">While I do not assign numerical values to those priors, I distinguish between </w:t>
      </w:r>
      <w:r w:rsidR="0087350F" w:rsidRPr="00025F8B">
        <w:rPr>
          <w:rFonts w:ascii="Cambria" w:hAnsi="Cambria"/>
        </w:rPr>
        <w:t xml:space="preserve">high, </w:t>
      </w:r>
      <w:r w:rsidR="006C7649" w:rsidRPr="00025F8B">
        <w:rPr>
          <w:rFonts w:ascii="Cambria" w:hAnsi="Cambria"/>
        </w:rPr>
        <w:t xml:space="preserve">medium-to high, </w:t>
      </w:r>
      <w:r w:rsidR="0087350F" w:rsidRPr="00025F8B">
        <w:rPr>
          <w:rFonts w:ascii="Cambria" w:hAnsi="Cambria"/>
        </w:rPr>
        <w:t>medium</w:t>
      </w:r>
      <w:r w:rsidR="006C7649" w:rsidRPr="00025F8B">
        <w:rPr>
          <w:rFonts w:ascii="Cambria" w:hAnsi="Cambria"/>
        </w:rPr>
        <w:t>, low-to-medium</w:t>
      </w:r>
      <w:r w:rsidR="0087350F" w:rsidRPr="00025F8B">
        <w:rPr>
          <w:rFonts w:ascii="Cambria" w:hAnsi="Cambria"/>
        </w:rPr>
        <w:t xml:space="preserve"> and low</w:t>
      </w:r>
      <w:r w:rsidR="00D25C2E" w:rsidRPr="00025F8B">
        <w:rPr>
          <w:rFonts w:ascii="Cambria" w:hAnsi="Cambria"/>
        </w:rPr>
        <w:t xml:space="preserve"> probabilities</w:t>
      </w:r>
      <w:r w:rsidR="007E311F" w:rsidRPr="00025F8B">
        <w:rPr>
          <w:rFonts w:ascii="Cambria" w:hAnsi="Cambria"/>
        </w:rPr>
        <w:t xml:space="preserve"> of an explanation being true</w:t>
      </w:r>
      <w:r w:rsidR="006C7649" w:rsidRPr="00025F8B">
        <w:rPr>
          <w:rFonts w:ascii="Cambria" w:hAnsi="Cambria"/>
        </w:rPr>
        <w:t>.</w:t>
      </w:r>
    </w:p>
    <w:p w14:paraId="1A590C31" w14:textId="77777777" w:rsidR="0000135A" w:rsidRPr="00025F8B" w:rsidRDefault="0000135A">
      <w:pPr>
        <w:rPr>
          <w:rFonts w:ascii="Cambria" w:hAnsi="Cambria"/>
        </w:rPr>
      </w:pPr>
    </w:p>
    <w:p w14:paraId="6CB1D86D" w14:textId="77777777" w:rsidR="007E311F" w:rsidRPr="00025F8B" w:rsidRDefault="007E311F">
      <w:pPr>
        <w:rPr>
          <w:rFonts w:ascii="Cambria" w:hAnsi="Cambria"/>
        </w:rPr>
      </w:pPr>
    </w:p>
    <w:tbl>
      <w:tblPr>
        <w:tblStyle w:val="TableGrid"/>
        <w:tblW w:w="0" w:type="auto"/>
        <w:tblLook w:val="04A0" w:firstRow="1" w:lastRow="0" w:firstColumn="1" w:lastColumn="0" w:noHBand="0" w:noVBand="1"/>
      </w:tblPr>
      <w:tblGrid>
        <w:gridCol w:w="2178"/>
        <w:gridCol w:w="3339"/>
        <w:gridCol w:w="3339"/>
      </w:tblGrid>
      <w:tr w:rsidR="007E311F" w:rsidRPr="00025F8B" w14:paraId="159E925E" w14:textId="77777777" w:rsidTr="00621ECD">
        <w:tc>
          <w:tcPr>
            <w:tcW w:w="2178" w:type="dxa"/>
          </w:tcPr>
          <w:p w14:paraId="3B3B8D72" w14:textId="55427ACF" w:rsidR="007E311F" w:rsidRPr="00025F8B" w:rsidRDefault="007E311F" w:rsidP="002A5CA8">
            <w:pPr>
              <w:rPr>
                <w:rFonts w:ascii="Cambria" w:hAnsi="Cambria"/>
                <w:b/>
                <w:i/>
              </w:rPr>
            </w:pPr>
            <w:r w:rsidRPr="00025F8B">
              <w:rPr>
                <w:rFonts w:ascii="Cambria" w:hAnsi="Cambria"/>
                <w:b/>
              </w:rPr>
              <w:t xml:space="preserve"> </w:t>
            </w:r>
            <w:r w:rsidR="002A5CA8" w:rsidRPr="00025F8B">
              <w:rPr>
                <w:rFonts w:ascii="Cambria" w:hAnsi="Cambria"/>
                <w:b/>
                <w:i/>
              </w:rPr>
              <w:t>W</w:t>
            </w:r>
            <w:r w:rsidR="00477D27" w:rsidRPr="00025F8B">
              <w:rPr>
                <w:rFonts w:ascii="Cambria" w:hAnsi="Cambria"/>
                <w:b/>
                <w:i/>
              </w:rPr>
              <w:t>hich actor is the driving force</w:t>
            </w:r>
            <w:r w:rsidR="002A5CA8" w:rsidRPr="00025F8B">
              <w:rPr>
                <w:rFonts w:ascii="Cambria" w:hAnsi="Cambria"/>
                <w:b/>
                <w:i/>
              </w:rPr>
              <w:t>?</w:t>
            </w:r>
          </w:p>
        </w:tc>
        <w:tc>
          <w:tcPr>
            <w:tcW w:w="3339" w:type="dxa"/>
          </w:tcPr>
          <w:p w14:paraId="76AE1152" w14:textId="6A89062F" w:rsidR="007E311F" w:rsidRPr="00025F8B" w:rsidRDefault="007E311F" w:rsidP="00477D27">
            <w:pPr>
              <w:jc w:val="center"/>
              <w:rPr>
                <w:rFonts w:ascii="Cambria" w:hAnsi="Cambria"/>
                <w:b/>
              </w:rPr>
            </w:pPr>
            <w:r w:rsidRPr="00025F8B">
              <w:rPr>
                <w:rFonts w:ascii="Cambria" w:hAnsi="Cambria"/>
                <w:b/>
              </w:rPr>
              <w:t>Prior based on literature</w:t>
            </w:r>
          </w:p>
        </w:tc>
        <w:tc>
          <w:tcPr>
            <w:tcW w:w="3339" w:type="dxa"/>
          </w:tcPr>
          <w:p w14:paraId="05853396" w14:textId="77777777" w:rsidR="00477D27" w:rsidRPr="00025F8B" w:rsidRDefault="007E311F" w:rsidP="00477D27">
            <w:pPr>
              <w:jc w:val="center"/>
              <w:rPr>
                <w:rFonts w:ascii="Cambria" w:hAnsi="Cambria"/>
                <w:b/>
              </w:rPr>
            </w:pPr>
            <w:r w:rsidRPr="00025F8B">
              <w:rPr>
                <w:rFonts w:ascii="Cambria" w:hAnsi="Cambria"/>
                <w:b/>
              </w:rPr>
              <w:t xml:space="preserve">Context-adjusted </w:t>
            </w:r>
          </w:p>
          <w:p w14:paraId="0EDB7EDD" w14:textId="6218AE39" w:rsidR="007E311F" w:rsidRPr="00025F8B" w:rsidRDefault="007E311F" w:rsidP="00477D27">
            <w:pPr>
              <w:jc w:val="center"/>
              <w:rPr>
                <w:rFonts w:ascii="Cambria" w:hAnsi="Cambria"/>
                <w:b/>
              </w:rPr>
            </w:pPr>
            <w:r w:rsidRPr="00025F8B">
              <w:rPr>
                <w:rFonts w:ascii="Cambria" w:hAnsi="Cambria"/>
                <w:b/>
              </w:rPr>
              <w:t>prior</w:t>
            </w:r>
          </w:p>
        </w:tc>
      </w:tr>
      <w:tr w:rsidR="007E311F" w:rsidRPr="00025F8B" w14:paraId="5A83F746" w14:textId="77777777" w:rsidTr="00621ECD">
        <w:tc>
          <w:tcPr>
            <w:tcW w:w="2178" w:type="dxa"/>
          </w:tcPr>
          <w:p w14:paraId="7F61EED2" w14:textId="6C3FAA2F" w:rsidR="007E311F" w:rsidRPr="00025F8B" w:rsidRDefault="00477D27" w:rsidP="00C71773">
            <w:pPr>
              <w:rPr>
                <w:rFonts w:ascii="Cambria" w:hAnsi="Cambria"/>
                <w:i/>
              </w:rPr>
            </w:pPr>
            <w:r w:rsidRPr="00025F8B">
              <w:rPr>
                <w:rFonts w:ascii="Cambria" w:hAnsi="Cambria"/>
                <w:i/>
              </w:rPr>
              <w:t>State apparatus</w:t>
            </w:r>
            <w:r w:rsidR="00C71773" w:rsidRPr="00025F8B">
              <w:rPr>
                <w:rFonts w:ascii="Cambria" w:hAnsi="Cambria"/>
                <w:i/>
              </w:rPr>
              <w:t xml:space="preserve"> </w:t>
            </w:r>
            <w:r w:rsidRPr="00025F8B">
              <w:rPr>
                <w:rFonts w:ascii="Cambria" w:hAnsi="Cambria"/>
                <w:i/>
              </w:rPr>
              <w:t>/ pre-existing development institutions (development banks/agencies, etc.)</w:t>
            </w:r>
          </w:p>
        </w:tc>
        <w:tc>
          <w:tcPr>
            <w:tcW w:w="3339" w:type="dxa"/>
          </w:tcPr>
          <w:p w14:paraId="59D50A96" w14:textId="0AC90260" w:rsidR="007E311F" w:rsidRPr="00025F8B" w:rsidRDefault="002A5CA8" w:rsidP="00477D27">
            <w:pPr>
              <w:jc w:val="center"/>
              <w:rPr>
                <w:rFonts w:ascii="Cambria" w:hAnsi="Cambria"/>
              </w:rPr>
            </w:pPr>
            <w:r w:rsidRPr="00025F8B">
              <w:rPr>
                <w:rFonts w:ascii="Cambria" w:hAnsi="Cambria"/>
              </w:rPr>
              <w:t>H</w:t>
            </w:r>
            <w:r w:rsidR="00477D27" w:rsidRPr="00025F8B">
              <w:rPr>
                <w:rFonts w:ascii="Cambria" w:hAnsi="Cambria"/>
              </w:rPr>
              <w:t>igh</w:t>
            </w:r>
          </w:p>
          <w:p w14:paraId="5D040EFB" w14:textId="77777777" w:rsidR="00477D27" w:rsidRPr="00025F8B" w:rsidRDefault="00477D27" w:rsidP="00477D27">
            <w:pPr>
              <w:jc w:val="center"/>
              <w:rPr>
                <w:rFonts w:ascii="Cambria" w:hAnsi="Cambria"/>
              </w:rPr>
            </w:pPr>
          </w:p>
          <w:p w14:paraId="6B13E3D9" w14:textId="52A172E3" w:rsidR="00477D27" w:rsidRPr="00025F8B" w:rsidRDefault="00477D27" w:rsidP="007650ED">
            <w:pPr>
              <w:rPr>
                <w:rFonts w:ascii="Cambria" w:hAnsi="Cambria"/>
              </w:rPr>
            </w:pPr>
            <w:r w:rsidRPr="00025F8B">
              <w:rPr>
                <w:rFonts w:ascii="Cambria" w:hAnsi="Cambria"/>
                <w:u w:val="single"/>
              </w:rPr>
              <w:t>Rationale:</w:t>
            </w:r>
            <w:r w:rsidRPr="00025F8B">
              <w:rPr>
                <w:rFonts w:ascii="Cambria" w:hAnsi="Cambria"/>
              </w:rPr>
              <w:t xml:space="preserve"> as shown in the literature review, this is the conventional wisdom </w:t>
            </w:r>
            <w:r w:rsidR="00500C08" w:rsidRPr="00025F8B">
              <w:rPr>
                <w:rFonts w:ascii="Cambria" w:hAnsi="Cambria"/>
              </w:rPr>
              <w:t>in the literature on the “old” developmentalism</w:t>
            </w:r>
          </w:p>
        </w:tc>
        <w:tc>
          <w:tcPr>
            <w:tcW w:w="3339" w:type="dxa"/>
          </w:tcPr>
          <w:p w14:paraId="1427150C" w14:textId="77777777" w:rsidR="007E311F" w:rsidRPr="00025F8B" w:rsidRDefault="00992F9F" w:rsidP="00477D27">
            <w:pPr>
              <w:jc w:val="center"/>
              <w:rPr>
                <w:rFonts w:ascii="Cambria" w:hAnsi="Cambria"/>
              </w:rPr>
            </w:pPr>
            <w:r w:rsidRPr="00025F8B">
              <w:rPr>
                <w:rFonts w:ascii="Cambria" w:hAnsi="Cambria"/>
              </w:rPr>
              <w:t>Medium-to-high</w:t>
            </w:r>
          </w:p>
          <w:p w14:paraId="3A5F29FA" w14:textId="77777777" w:rsidR="00992F9F" w:rsidRPr="00025F8B" w:rsidRDefault="00992F9F" w:rsidP="00477D27">
            <w:pPr>
              <w:jc w:val="center"/>
              <w:rPr>
                <w:rFonts w:ascii="Cambria" w:hAnsi="Cambria"/>
              </w:rPr>
            </w:pPr>
          </w:p>
          <w:p w14:paraId="449E0922" w14:textId="789B7989" w:rsidR="00992F9F" w:rsidRPr="00025F8B" w:rsidRDefault="00992F9F" w:rsidP="00DE7CB3">
            <w:pPr>
              <w:rPr>
                <w:rFonts w:ascii="Cambria" w:hAnsi="Cambria"/>
              </w:rPr>
            </w:pPr>
            <w:r w:rsidRPr="00025F8B">
              <w:rPr>
                <w:rFonts w:ascii="Cambria" w:hAnsi="Cambria"/>
                <w:u w:val="single"/>
              </w:rPr>
              <w:t>Rationale</w:t>
            </w:r>
            <w:r w:rsidRPr="00025F8B">
              <w:rPr>
                <w:rFonts w:ascii="Cambria" w:hAnsi="Cambria"/>
              </w:rPr>
              <w:t xml:space="preserve">: </w:t>
            </w:r>
            <w:r w:rsidR="00006C2D" w:rsidRPr="00025F8B">
              <w:rPr>
                <w:rFonts w:ascii="Cambria" w:hAnsi="Cambria"/>
              </w:rPr>
              <w:t>recent literature has shown that, in a CEE context, Poland has</w:t>
            </w:r>
            <w:r w:rsidR="00384069">
              <w:rPr>
                <w:rFonts w:ascii="Cambria" w:hAnsi="Cambria"/>
              </w:rPr>
              <w:t xml:space="preserve"> had a</w:t>
            </w:r>
            <w:r w:rsidR="00006C2D" w:rsidRPr="00025F8B">
              <w:rPr>
                <w:rFonts w:ascii="Cambria" w:hAnsi="Cambria"/>
              </w:rPr>
              <w:t xml:space="preserve"> relatively well developed pre-existing industrial policy capacity (Bruszt &amp; Karas, 2020; Markiewicz, 2020; Medve-Bálint &amp; Šćepanović 2020). However,</w:t>
            </w:r>
            <w:r w:rsidR="0091548D" w:rsidRPr="00025F8B">
              <w:rPr>
                <w:rFonts w:ascii="Cambria" w:hAnsi="Cambria"/>
              </w:rPr>
              <w:t xml:space="preserve"> in the CEE context,</w:t>
            </w:r>
            <w:r w:rsidR="00006C2D" w:rsidRPr="00025F8B">
              <w:rPr>
                <w:rFonts w:ascii="Cambria" w:hAnsi="Cambria"/>
              </w:rPr>
              <w:t xml:space="preserve"> </w:t>
            </w:r>
            <w:r w:rsidR="0091548D" w:rsidRPr="00025F8B">
              <w:rPr>
                <w:rFonts w:ascii="Cambria" w:hAnsi="Cambria"/>
              </w:rPr>
              <w:t>Poland has a comparatively high level of senior civil service politicization (Meyer-Sahling &amp; Veen, 2012)</w:t>
            </w:r>
            <w:r w:rsidR="00FA7A0A" w:rsidRPr="00025F8B">
              <w:rPr>
                <w:rFonts w:ascii="Cambria" w:hAnsi="Cambria"/>
              </w:rPr>
              <w:t xml:space="preserve"> </w:t>
            </w:r>
            <w:r w:rsidR="00DE7CB3" w:rsidRPr="00025F8B">
              <w:rPr>
                <w:rFonts w:ascii="Cambria" w:hAnsi="Cambria"/>
              </w:rPr>
              <w:t>and</w:t>
            </w:r>
            <w:r w:rsidR="00FA7A0A" w:rsidRPr="00025F8B">
              <w:rPr>
                <w:rFonts w:ascii="Cambria" w:hAnsi="Cambria"/>
              </w:rPr>
              <w:t xml:space="preserve"> high turnover of staff in SOEs (Szarzec et al. 2020)</w:t>
            </w:r>
            <w:r w:rsidR="00DE7CB3" w:rsidRPr="00025F8B">
              <w:rPr>
                <w:rFonts w:ascii="Cambria" w:hAnsi="Cambria"/>
              </w:rPr>
              <w:t>;</w:t>
            </w:r>
            <w:r w:rsidR="00621ECD" w:rsidRPr="00025F8B">
              <w:rPr>
                <w:rFonts w:ascii="Cambria" w:hAnsi="Cambria"/>
              </w:rPr>
              <w:t xml:space="preserve"> </w:t>
            </w:r>
            <w:r w:rsidR="00DE7CB3" w:rsidRPr="00025F8B">
              <w:rPr>
                <w:rFonts w:ascii="Cambria" w:hAnsi="Cambria"/>
              </w:rPr>
              <w:t>hence</w:t>
            </w:r>
            <w:r w:rsidR="00621ECD" w:rsidRPr="00025F8B">
              <w:rPr>
                <w:rFonts w:ascii="Cambria" w:hAnsi="Cambria"/>
              </w:rPr>
              <w:t>, as can be assumed,</w:t>
            </w:r>
            <w:r w:rsidR="000821F4">
              <w:rPr>
                <w:rFonts w:ascii="Cambria" w:hAnsi="Cambria"/>
              </w:rPr>
              <w:t xml:space="preserve"> </w:t>
            </w:r>
            <w:r w:rsidR="00F82875">
              <w:rPr>
                <w:rFonts w:ascii="Cambria" w:hAnsi="Cambria"/>
              </w:rPr>
              <w:t>also</w:t>
            </w:r>
            <w:r w:rsidR="00621ECD" w:rsidRPr="00025F8B">
              <w:rPr>
                <w:rFonts w:ascii="Cambria" w:hAnsi="Cambria"/>
              </w:rPr>
              <w:t xml:space="preserve"> in development banks/agencies. </w:t>
            </w:r>
            <w:r w:rsidR="00FA7A0A" w:rsidRPr="00025F8B">
              <w:rPr>
                <w:rFonts w:ascii="Cambria" w:hAnsi="Cambria"/>
              </w:rPr>
              <w:t xml:space="preserve">Politicization should </w:t>
            </w:r>
            <w:r w:rsidR="00621ECD" w:rsidRPr="00025F8B">
              <w:rPr>
                <w:rFonts w:ascii="Cambria" w:hAnsi="Cambria"/>
              </w:rPr>
              <w:t>limit the power of mid-level bureaucrats with more stable careers</w:t>
            </w:r>
            <w:r w:rsidR="00FA7A0A" w:rsidRPr="00025F8B">
              <w:rPr>
                <w:rFonts w:ascii="Cambria" w:hAnsi="Cambria"/>
              </w:rPr>
              <w:t xml:space="preserve"> </w:t>
            </w:r>
            <w:r w:rsidR="00621ECD" w:rsidRPr="00025F8B">
              <w:rPr>
                <w:rFonts w:ascii="Cambria" w:hAnsi="Cambria"/>
              </w:rPr>
              <w:t>and also means that the pre</w:t>
            </w:r>
            <w:r w:rsidR="00DE7CB3" w:rsidRPr="00025F8B">
              <w:rPr>
                <w:rFonts w:ascii="Cambria" w:hAnsi="Cambria"/>
              </w:rPr>
              <w:t>ferences of senior bureaucrats’/</w:t>
            </w:r>
            <w:r w:rsidR="00621ECD" w:rsidRPr="00025F8B">
              <w:rPr>
                <w:rFonts w:ascii="Cambria" w:hAnsi="Cambria"/>
              </w:rPr>
              <w:t>officials’ preferences are more likely to reflect the preferences of the party in power</w:t>
            </w:r>
          </w:p>
          <w:p w14:paraId="7518FBE2" w14:textId="72AA00B5" w:rsidR="00EF4DCB" w:rsidRPr="00025F8B" w:rsidRDefault="00EF4DCB" w:rsidP="00DE7CB3">
            <w:pPr>
              <w:rPr>
                <w:rFonts w:ascii="Cambria" w:hAnsi="Cambria"/>
              </w:rPr>
            </w:pPr>
          </w:p>
        </w:tc>
      </w:tr>
      <w:tr w:rsidR="007E311F" w:rsidRPr="00025F8B" w14:paraId="2ED28719" w14:textId="77777777" w:rsidTr="00621ECD">
        <w:tc>
          <w:tcPr>
            <w:tcW w:w="2178" w:type="dxa"/>
          </w:tcPr>
          <w:p w14:paraId="13B2211C" w14:textId="4D3C7316" w:rsidR="007E311F" w:rsidRPr="00025F8B" w:rsidRDefault="00500C08">
            <w:pPr>
              <w:rPr>
                <w:rFonts w:ascii="Cambria" w:hAnsi="Cambria"/>
                <w:i/>
              </w:rPr>
            </w:pPr>
            <w:r w:rsidRPr="00025F8B">
              <w:rPr>
                <w:rFonts w:ascii="Cambria" w:hAnsi="Cambria"/>
                <w:i/>
              </w:rPr>
              <w:t>Conservative-nationalist parties with authoritarian tendencies</w:t>
            </w:r>
          </w:p>
        </w:tc>
        <w:tc>
          <w:tcPr>
            <w:tcW w:w="3339" w:type="dxa"/>
          </w:tcPr>
          <w:p w14:paraId="2317FF91" w14:textId="77777777" w:rsidR="007E311F" w:rsidRPr="00025F8B" w:rsidRDefault="00500C08" w:rsidP="00500C08">
            <w:pPr>
              <w:jc w:val="center"/>
              <w:rPr>
                <w:rFonts w:ascii="Cambria" w:hAnsi="Cambria"/>
              </w:rPr>
            </w:pPr>
            <w:r w:rsidRPr="00025F8B">
              <w:rPr>
                <w:rFonts w:ascii="Cambria" w:hAnsi="Cambria"/>
              </w:rPr>
              <w:t>High</w:t>
            </w:r>
          </w:p>
          <w:p w14:paraId="1A2529C8" w14:textId="77777777" w:rsidR="00500C08" w:rsidRPr="00025F8B" w:rsidRDefault="00500C08" w:rsidP="00500C08">
            <w:pPr>
              <w:jc w:val="center"/>
              <w:rPr>
                <w:rFonts w:ascii="Cambria" w:hAnsi="Cambria"/>
              </w:rPr>
            </w:pPr>
          </w:p>
          <w:p w14:paraId="7DD134CA" w14:textId="77777777" w:rsidR="00500C08" w:rsidRPr="00025F8B" w:rsidRDefault="00500C08" w:rsidP="00C71773">
            <w:pPr>
              <w:rPr>
                <w:rFonts w:ascii="Cambria" w:hAnsi="Cambria"/>
              </w:rPr>
            </w:pPr>
            <w:r w:rsidRPr="00025F8B">
              <w:rPr>
                <w:rFonts w:ascii="Cambria" w:hAnsi="Cambria"/>
                <w:u w:val="single"/>
              </w:rPr>
              <w:t>Rationale:</w:t>
            </w:r>
            <w:r w:rsidRPr="00025F8B">
              <w:rPr>
                <w:rFonts w:ascii="Cambria" w:hAnsi="Cambria"/>
              </w:rPr>
              <w:t xml:space="preserve"> as shown in the literature review, this is the conventional wisdom in the literature on the “</w:t>
            </w:r>
            <w:r w:rsidR="00C71773" w:rsidRPr="00025F8B">
              <w:rPr>
                <w:rFonts w:ascii="Cambria" w:hAnsi="Cambria"/>
              </w:rPr>
              <w:t>new</w:t>
            </w:r>
            <w:r w:rsidRPr="00025F8B">
              <w:rPr>
                <w:rFonts w:ascii="Cambria" w:hAnsi="Cambria"/>
              </w:rPr>
              <w:t>” developmentalism</w:t>
            </w:r>
            <w:r w:rsidR="00C71773" w:rsidRPr="00025F8B">
              <w:rPr>
                <w:rFonts w:ascii="Cambria" w:hAnsi="Cambria"/>
              </w:rPr>
              <w:t xml:space="preserve"> in CEE countries and fits with much of the “old” developmentalism literature’s emphasis on authoritarian leaders</w:t>
            </w:r>
          </w:p>
          <w:p w14:paraId="33ACD922" w14:textId="05977123" w:rsidR="00EF4DCB" w:rsidRPr="00025F8B" w:rsidRDefault="00EF4DCB" w:rsidP="00C71773">
            <w:pPr>
              <w:rPr>
                <w:rFonts w:ascii="Cambria" w:hAnsi="Cambria"/>
                <w:u w:val="single"/>
              </w:rPr>
            </w:pPr>
          </w:p>
        </w:tc>
        <w:tc>
          <w:tcPr>
            <w:tcW w:w="3339" w:type="dxa"/>
          </w:tcPr>
          <w:p w14:paraId="44BC429F" w14:textId="77777777" w:rsidR="00C71773" w:rsidRPr="00025F8B" w:rsidRDefault="00C71773" w:rsidP="00C71773">
            <w:pPr>
              <w:jc w:val="center"/>
              <w:rPr>
                <w:rFonts w:ascii="Cambria" w:hAnsi="Cambria"/>
              </w:rPr>
            </w:pPr>
            <w:r w:rsidRPr="00025F8B">
              <w:rPr>
                <w:rFonts w:ascii="Cambria" w:hAnsi="Cambria"/>
              </w:rPr>
              <w:t>High</w:t>
            </w:r>
          </w:p>
          <w:p w14:paraId="1CE7E286" w14:textId="77777777" w:rsidR="007E311F" w:rsidRPr="00025F8B" w:rsidRDefault="007E311F" w:rsidP="00C71773">
            <w:pPr>
              <w:jc w:val="center"/>
              <w:rPr>
                <w:rFonts w:ascii="Cambria" w:hAnsi="Cambria"/>
              </w:rPr>
            </w:pPr>
          </w:p>
          <w:p w14:paraId="0912BC68" w14:textId="6513D8EC" w:rsidR="00C71773" w:rsidRPr="00025F8B" w:rsidRDefault="00C71773" w:rsidP="00C71773">
            <w:pPr>
              <w:rPr>
                <w:rFonts w:ascii="Cambria" w:hAnsi="Cambria"/>
              </w:rPr>
            </w:pPr>
            <w:r w:rsidRPr="00025F8B">
              <w:rPr>
                <w:rFonts w:ascii="Cambria" w:hAnsi="Cambria"/>
              </w:rPr>
              <w:t>(No update based on Polish context)</w:t>
            </w:r>
          </w:p>
        </w:tc>
      </w:tr>
      <w:tr w:rsidR="007E311F" w:rsidRPr="00025F8B" w14:paraId="28CEB6D8" w14:textId="77777777" w:rsidTr="00621ECD">
        <w:tc>
          <w:tcPr>
            <w:tcW w:w="2178" w:type="dxa"/>
          </w:tcPr>
          <w:p w14:paraId="5D958F17" w14:textId="4EF46B0A" w:rsidR="007E311F" w:rsidRPr="00025F8B" w:rsidRDefault="00C71773">
            <w:pPr>
              <w:rPr>
                <w:rFonts w:ascii="Cambria" w:hAnsi="Cambria"/>
                <w:i/>
              </w:rPr>
            </w:pPr>
            <w:r w:rsidRPr="00025F8B">
              <w:rPr>
                <w:rFonts w:ascii="Cambria" w:hAnsi="Cambria"/>
                <w:i/>
              </w:rPr>
              <w:t>Liberal (pro-market) parties</w:t>
            </w:r>
          </w:p>
        </w:tc>
        <w:tc>
          <w:tcPr>
            <w:tcW w:w="3339" w:type="dxa"/>
          </w:tcPr>
          <w:p w14:paraId="11BB3D6C" w14:textId="77777777" w:rsidR="007E311F" w:rsidRPr="00025F8B" w:rsidRDefault="00C71773" w:rsidP="00C71773">
            <w:pPr>
              <w:jc w:val="center"/>
              <w:rPr>
                <w:rFonts w:ascii="Cambria" w:hAnsi="Cambria"/>
              </w:rPr>
            </w:pPr>
            <w:r w:rsidRPr="00025F8B">
              <w:rPr>
                <w:rFonts w:ascii="Cambria" w:hAnsi="Cambria"/>
              </w:rPr>
              <w:t>Low</w:t>
            </w:r>
          </w:p>
          <w:p w14:paraId="67F385A9" w14:textId="77777777" w:rsidR="00C71773" w:rsidRPr="00025F8B" w:rsidRDefault="00C71773">
            <w:pPr>
              <w:rPr>
                <w:rFonts w:ascii="Cambria" w:hAnsi="Cambria"/>
              </w:rPr>
            </w:pPr>
          </w:p>
          <w:p w14:paraId="6E99D2FE" w14:textId="77777777" w:rsidR="00C71773" w:rsidRPr="00025F8B" w:rsidRDefault="00C71773" w:rsidP="00C71773">
            <w:pPr>
              <w:rPr>
                <w:rFonts w:ascii="Cambria" w:hAnsi="Cambria"/>
              </w:rPr>
            </w:pPr>
            <w:r w:rsidRPr="00025F8B">
              <w:rPr>
                <w:rFonts w:ascii="Cambria" w:hAnsi="Cambria"/>
                <w:u w:val="single"/>
              </w:rPr>
              <w:t>Rationale:</w:t>
            </w:r>
            <w:r w:rsidRPr="00025F8B">
              <w:rPr>
                <w:rFonts w:ascii="Cambria" w:hAnsi="Cambria"/>
              </w:rPr>
              <w:t xml:space="preserve"> although the role of this type or parties is not often discussed in the literature on developmentalism, one would not expect parties with a pro-market agenda to promote state interventionism in the economy</w:t>
            </w:r>
          </w:p>
          <w:p w14:paraId="4D9F4A5C" w14:textId="4293BC91" w:rsidR="00EF4DCB" w:rsidRPr="00025F8B" w:rsidRDefault="00EF4DCB" w:rsidP="00C71773">
            <w:pPr>
              <w:rPr>
                <w:rFonts w:ascii="Cambria" w:hAnsi="Cambria"/>
              </w:rPr>
            </w:pPr>
          </w:p>
        </w:tc>
        <w:tc>
          <w:tcPr>
            <w:tcW w:w="3339" w:type="dxa"/>
          </w:tcPr>
          <w:p w14:paraId="50081CBB" w14:textId="5EA05179" w:rsidR="00C71773" w:rsidRPr="00025F8B" w:rsidRDefault="00C71773" w:rsidP="00C71773">
            <w:pPr>
              <w:jc w:val="center"/>
              <w:rPr>
                <w:rFonts w:ascii="Cambria" w:hAnsi="Cambria"/>
              </w:rPr>
            </w:pPr>
            <w:r w:rsidRPr="00025F8B">
              <w:rPr>
                <w:rFonts w:ascii="Cambria" w:hAnsi="Cambria"/>
              </w:rPr>
              <w:t>Low</w:t>
            </w:r>
          </w:p>
          <w:p w14:paraId="62432193" w14:textId="77777777" w:rsidR="00C71773" w:rsidRPr="00025F8B" w:rsidRDefault="00C71773" w:rsidP="00C71773">
            <w:pPr>
              <w:jc w:val="center"/>
              <w:rPr>
                <w:rFonts w:ascii="Cambria" w:hAnsi="Cambria"/>
              </w:rPr>
            </w:pPr>
          </w:p>
          <w:p w14:paraId="72F47F90" w14:textId="446BF6F8" w:rsidR="007E311F" w:rsidRPr="00025F8B" w:rsidRDefault="00C71773" w:rsidP="00C71773">
            <w:pPr>
              <w:rPr>
                <w:rFonts w:ascii="Cambria" w:hAnsi="Cambria"/>
              </w:rPr>
            </w:pPr>
            <w:r w:rsidRPr="00025F8B">
              <w:rPr>
                <w:rFonts w:ascii="Cambria" w:hAnsi="Cambria"/>
              </w:rPr>
              <w:t>(No update based on Polish context)</w:t>
            </w:r>
          </w:p>
        </w:tc>
      </w:tr>
      <w:tr w:rsidR="007E311F" w:rsidRPr="00025F8B" w14:paraId="7A5F4B8B" w14:textId="77777777" w:rsidTr="00621ECD">
        <w:tc>
          <w:tcPr>
            <w:tcW w:w="2178" w:type="dxa"/>
          </w:tcPr>
          <w:p w14:paraId="1D4935F1" w14:textId="21C87F84" w:rsidR="007E311F" w:rsidRPr="00025F8B" w:rsidRDefault="00A90930">
            <w:pPr>
              <w:rPr>
                <w:rFonts w:ascii="Cambria" w:hAnsi="Cambria"/>
                <w:i/>
              </w:rPr>
            </w:pPr>
            <w:r w:rsidRPr="00025F8B">
              <w:rPr>
                <w:rFonts w:ascii="Cambria" w:hAnsi="Cambria"/>
                <w:i/>
              </w:rPr>
              <w:t>Indigenous bourgeoisie organized through trade/employers’ associations</w:t>
            </w:r>
          </w:p>
        </w:tc>
        <w:tc>
          <w:tcPr>
            <w:tcW w:w="3339" w:type="dxa"/>
          </w:tcPr>
          <w:p w14:paraId="7921F4EF" w14:textId="77777777" w:rsidR="007E311F" w:rsidRPr="00025F8B" w:rsidRDefault="006C7649" w:rsidP="006C7649">
            <w:pPr>
              <w:jc w:val="center"/>
              <w:rPr>
                <w:rFonts w:ascii="Cambria" w:hAnsi="Cambria"/>
              </w:rPr>
            </w:pPr>
            <w:r w:rsidRPr="00025F8B">
              <w:rPr>
                <w:rFonts w:ascii="Cambria" w:hAnsi="Cambria"/>
              </w:rPr>
              <w:t>Low-to-medium</w:t>
            </w:r>
          </w:p>
          <w:p w14:paraId="73856052" w14:textId="77777777" w:rsidR="006C7649" w:rsidRPr="00025F8B" w:rsidRDefault="006C7649" w:rsidP="006C7649">
            <w:pPr>
              <w:rPr>
                <w:rFonts w:ascii="Cambria" w:hAnsi="Cambria"/>
              </w:rPr>
            </w:pPr>
          </w:p>
          <w:p w14:paraId="1CA71E3E" w14:textId="71DB36D7" w:rsidR="006C7649" w:rsidRPr="00025F8B" w:rsidRDefault="00920B5C" w:rsidP="00B267D3">
            <w:pPr>
              <w:rPr>
                <w:rFonts w:ascii="Cambria" w:hAnsi="Cambria"/>
                <w:u w:val="single"/>
              </w:rPr>
            </w:pPr>
            <w:r w:rsidRPr="00025F8B">
              <w:rPr>
                <w:rFonts w:ascii="Cambria" w:hAnsi="Cambria"/>
                <w:u w:val="single"/>
              </w:rPr>
              <w:t>Rationale:</w:t>
            </w:r>
            <w:r w:rsidRPr="00025F8B">
              <w:rPr>
                <w:rFonts w:ascii="Cambria" w:hAnsi="Cambria"/>
              </w:rPr>
              <w:t xml:space="preserve"> </w:t>
            </w:r>
            <w:r w:rsidR="00CF1B15" w:rsidRPr="00025F8B">
              <w:rPr>
                <w:rFonts w:ascii="Cambria" w:hAnsi="Cambria"/>
              </w:rPr>
              <w:t xml:space="preserve">As explained in the literature review, the main proponent of this thesis has been Chibber (2003) and </w:t>
            </w:r>
            <w:r w:rsidR="009D229E" w:rsidRPr="00025F8B">
              <w:rPr>
                <w:rFonts w:ascii="Cambria" w:hAnsi="Cambria"/>
              </w:rPr>
              <w:t xml:space="preserve">his description of events in India and South Korea does not even point to a bottom-up cooption of the state by the bourgeoisie, but rather to a co-occurrence (or coincidence) of state and bourgeois support for developmentalism; Recent work by </w:t>
            </w:r>
            <w:r w:rsidR="00141049" w:rsidRPr="00025F8B">
              <w:rPr>
                <w:rFonts w:ascii="Cambria" w:hAnsi="Cambria"/>
              </w:rPr>
              <w:t>Scheiring (2020) suggests similar dynamics have happened in Hung</w:t>
            </w:r>
            <w:r w:rsidR="00B267D3">
              <w:rPr>
                <w:rFonts w:ascii="Cambria" w:hAnsi="Cambria"/>
              </w:rPr>
              <w:t xml:space="preserve">ary; Recent Marxist work on </w:t>
            </w:r>
            <w:r w:rsidR="00141049" w:rsidRPr="00025F8B">
              <w:rPr>
                <w:rFonts w:ascii="Cambria" w:hAnsi="Cambria"/>
              </w:rPr>
              <w:t xml:space="preserve">the Workers’ Party in Brazil also suggests the importance of the national bourgeoisie in </w:t>
            </w:r>
            <w:r w:rsidR="00EF4DCB" w:rsidRPr="00025F8B">
              <w:rPr>
                <w:rFonts w:ascii="Cambria" w:hAnsi="Cambria"/>
              </w:rPr>
              <w:t>supporting developmentalism in that country  (Boito &amp; Saad-Filho)</w:t>
            </w:r>
            <w:r w:rsidR="00141049" w:rsidRPr="00025F8B">
              <w:rPr>
                <w:rFonts w:ascii="Cambria" w:hAnsi="Cambria"/>
              </w:rPr>
              <w:t xml:space="preserve">  </w:t>
            </w:r>
          </w:p>
        </w:tc>
        <w:tc>
          <w:tcPr>
            <w:tcW w:w="3339" w:type="dxa"/>
          </w:tcPr>
          <w:p w14:paraId="3D344C02" w14:textId="77777777" w:rsidR="007E311F" w:rsidRPr="00025F8B" w:rsidRDefault="00EF4DCB" w:rsidP="00EF4DCB">
            <w:pPr>
              <w:jc w:val="center"/>
              <w:rPr>
                <w:rFonts w:ascii="Cambria" w:hAnsi="Cambria"/>
              </w:rPr>
            </w:pPr>
            <w:r w:rsidRPr="00025F8B">
              <w:rPr>
                <w:rFonts w:ascii="Cambria" w:hAnsi="Cambria"/>
              </w:rPr>
              <w:t>Low</w:t>
            </w:r>
          </w:p>
          <w:p w14:paraId="40518B01" w14:textId="77777777" w:rsidR="00EF4DCB" w:rsidRPr="00025F8B" w:rsidRDefault="00EF4DCB" w:rsidP="00EF4DCB">
            <w:pPr>
              <w:jc w:val="center"/>
              <w:rPr>
                <w:rFonts w:ascii="Cambria" w:hAnsi="Cambria"/>
              </w:rPr>
            </w:pPr>
          </w:p>
          <w:p w14:paraId="6AE13C48" w14:textId="77777777" w:rsidR="00EF4DCB" w:rsidRDefault="00EF4DCB" w:rsidP="001B1BC5">
            <w:pPr>
              <w:rPr>
                <w:rFonts w:ascii="Cambria" w:hAnsi="Cambria"/>
              </w:rPr>
            </w:pPr>
            <w:r w:rsidRPr="00025F8B">
              <w:rPr>
                <w:rFonts w:ascii="Cambria" w:hAnsi="Cambria"/>
                <w:u w:val="single"/>
              </w:rPr>
              <w:t xml:space="preserve">Rationale: </w:t>
            </w:r>
            <w:r w:rsidR="00B731C4" w:rsidRPr="00025F8B">
              <w:rPr>
                <w:rFonts w:ascii="Cambria" w:hAnsi="Cambria"/>
              </w:rPr>
              <w:t xml:space="preserve">Although work by </w:t>
            </w:r>
            <w:r w:rsidR="009330F8" w:rsidRPr="00025F8B">
              <w:rPr>
                <w:rFonts w:ascii="Cambria" w:hAnsi="Cambria"/>
              </w:rPr>
              <w:t>Schoenman (2014) suggests that, compared with Bulgarian and Romanian employers’ associations, Polish employers’ association have been broad associations with significant lobby power, compa</w:t>
            </w:r>
            <w:r w:rsidR="00B07571" w:rsidRPr="00025F8B">
              <w:rPr>
                <w:rFonts w:ascii="Cambria" w:hAnsi="Cambria"/>
              </w:rPr>
              <w:t>rative data show that Poland has one of the low</w:t>
            </w:r>
            <w:r w:rsidR="00741B30" w:rsidRPr="00025F8B">
              <w:rPr>
                <w:rFonts w:ascii="Cambria" w:hAnsi="Cambria"/>
              </w:rPr>
              <w:t>est employer densities and high fragmentation of organized business</w:t>
            </w:r>
            <w:r w:rsidR="00B07571" w:rsidRPr="00025F8B">
              <w:rPr>
                <w:rFonts w:ascii="Cambria" w:hAnsi="Cambria"/>
              </w:rPr>
              <w:t xml:space="preserve"> in the EU </w:t>
            </w:r>
            <w:r w:rsidR="00741B30" w:rsidRPr="00025F8B">
              <w:rPr>
                <w:rFonts w:ascii="Cambria" w:hAnsi="Cambria"/>
              </w:rPr>
              <w:t>(See table in Appendix A.2.5</w:t>
            </w:r>
            <w:r w:rsidR="00234633" w:rsidRPr="00025F8B">
              <w:rPr>
                <w:rFonts w:ascii="Cambria" w:hAnsi="Cambria"/>
              </w:rPr>
              <w:t>; see also Ost, 2000</w:t>
            </w:r>
            <w:r w:rsidR="00741B30" w:rsidRPr="00025F8B">
              <w:rPr>
                <w:rFonts w:ascii="Cambria" w:hAnsi="Cambria"/>
              </w:rPr>
              <w:t xml:space="preserve">). </w:t>
            </w:r>
            <w:r w:rsidR="00234633" w:rsidRPr="00025F8B">
              <w:rPr>
                <w:rFonts w:ascii="Cambria" w:hAnsi="Cambria"/>
              </w:rPr>
              <w:t>This means that Polish employers’ associations and business groups are characterized by a high degree of pluralism</w:t>
            </w:r>
            <w:r w:rsidR="001B1BC5">
              <w:rPr>
                <w:rFonts w:ascii="Cambria" w:hAnsi="Cambria"/>
              </w:rPr>
              <w:t>. Literature has shown that</w:t>
            </w:r>
            <w:r w:rsidR="00234633" w:rsidRPr="00025F8B">
              <w:rPr>
                <w:rFonts w:ascii="Cambria" w:hAnsi="Cambria"/>
              </w:rPr>
              <w:t xml:space="preserve"> organized business in pluralist systems </w:t>
            </w:r>
            <w:r w:rsidR="001B1BC5">
              <w:rPr>
                <w:rFonts w:ascii="Cambria" w:hAnsi="Cambria"/>
              </w:rPr>
              <w:t>is</w:t>
            </w:r>
            <w:r w:rsidR="00234633" w:rsidRPr="00025F8B">
              <w:rPr>
                <w:rFonts w:ascii="Cambria" w:hAnsi="Cambria"/>
              </w:rPr>
              <w:t xml:space="preserve"> much more likely to be pro-market than in corporatist systems (Martin &amp; Swank, 2013)</w:t>
            </w:r>
          </w:p>
          <w:p w14:paraId="523FF322" w14:textId="1CADB59A" w:rsidR="00241406" w:rsidRPr="00025F8B" w:rsidRDefault="00241406" w:rsidP="001B1BC5">
            <w:pPr>
              <w:rPr>
                <w:rFonts w:ascii="Cambria" w:hAnsi="Cambria"/>
              </w:rPr>
            </w:pPr>
          </w:p>
        </w:tc>
      </w:tr>
      <w:tr w:rsidR="007E311F" w:rsidRPr="00025F8B" w14:paraId="74E93DFE" w14:textId="77777777" w:rsidTr="00621ECD">
        <w:tc>
          <w:tcPr>
            <w:tcW w:w="2178" w:type="dxa"/>
          </w:tcPr>
          <w:p w14:paraId="34E21ECA" w14:textId="5ECC6C26" w:rsidR="007E311F" w:rsidRPr="00025F8B" w:rsidRDefault="006D2825" w:rsidP="003E2961">
            <w:pPr>
              <w:rPr>
                <w:rFonts w:ascii="Cambria" w:hAnsi="Cambria"/>
                <w:i/>
              </w:rPr>
            </w:pPr>
            <w:r w:rsidRPr="00025F8B">
              <w:rPr>
                <w:rFonts w:ascii="Cambria" w:hAnsi="Cambria"/>
                <w:i/>
              </w:rPr>
              <w:t>Comprador bankers (or</w:t>
            </w:r>
            <w:r w:rsidR="003E2961" w:rsidRPr="00025F8B">
              <w:rPr>
                <w:rFonts w:ascii="Cambria" w:hAnsi="Cambria"/>
                <w:i/>
              </w:rPr>
              <w:t>, in general,</w:t>
            </w:r>
            <w:r w:rsidRPr="00025F8B">
              <w:rPr>
                <w:rFonts w:ascii="Cambria" w:hAnsi="Cambria"/>
                <w:i/>
              </w:rPr>
              <w:t xml:space="preserve"> </w:t>
            </w:r>
            <w:r w:rsidR="003E2961" w:rsidRPr="00025F8B">
              <w:rPr>
                <w:rFonts w:ascii="Cambria" w:hAnsi="Cambria"/>
                <w:i/>
              </w:rPr>
              <w:t xml:space="preserve">expat and indigenous </w:t>
            </w:r>
            <w:r w:rsidRPr="00025F8B">
              <w:rPr>
                <w:rFonts w:ascii="Cambria" w:hAnsi="Cambria"/>
                <w:i/>
              </w:rPr>
              <w:t xml:space="preserve">managers of </w:t>
            </w:r>
            <w:r w:rsidR="003E2961" w:rsidRPr="00025F8B">
              <w:rPr>
                <w:rFonts w:ascii="Cambria" w:hAnsi="Cambria"/>
                <w:i/>
              </w:rPr>
              <w:t xml:space="preserve">the </w:t>
            </w:r>
            <w:r w:rsidRPr="00025F8B">
              <w:rPr>
                <w:rFonts w:ascii="Cambria" w:hAnsi="Cambria"/>
                <w:i/>
              </w:rPr>
              <w:t>subsidiaries of foreign-owned MNCs)</w:t>
            </w:r>
          </w:p>
        </w:tc>
        <w:tc>
          <w:tcPr>
            <w:tcW w:w="3339" w:type="dxa"/>
          </w:tcPr>
          <w:p w14:paraId="1627C259" w14:textId="77777777" w:rsidR="007E311F" w:rsidRPr="00025F8B" w:rsidRDefault="006D2825" w:rsidP="006D2825">
            <w:pPr>
              <w:jc w:val="center"/>
              <w:rPr>
                <w:rFonts w:ascii="Cambria" w:hAnsi="Cambria"/>
              </w:rPr>
            </w:pPr>
            <w:r w:rsidRPr="00025F8B">
              <w:rPr>
                <w:rFonts w:ascii="Cambria" w:hAnsi="Cambria"/>
              </w:rPr>
              <w:t>Low</w:t>
            </w:r>
          </w:p>
          <w:p w14:paraId="0E57999E" w14:textId="77777777" w:rsidR="003E2961" w:rsidRPr="00025F8B" w:rsidRDefault="003E2961" w:rsidP="006D2825">
            <w:pPr>
              <w:jc w:val="center"/>
              <w:rPr>
                <w:rFonts w:ascii="Cambria" w:hAnsi="Cambria"/>
              </w:rPr>
            </w:pPr>
          </w:p>
          <w:p w14:paraId="5DD2904A" w14:textId="68256815" w:rsidR="003E2961" w:rsidRDefault="003E2961" w:rsidP="003E2961">
            <w:pPr>
              <w:rPr>
                <w:rFonts w:ascii="Cambria" w:hAnsi="Cambria"/>
              </w:rPr>
            </w:pPr>
            <w:r w:rsidRPr="00025F8B">
              <w:rPr>
                <w:rFonts w:ascii="Cambria" w:hAnsi="Cambria"/>
                <w:u w:val="single"/>
              </w:rPr>
              <w:t>Rationale:</w:t>
            </w:r>
            <w:r w:rsidRPr="00025F8B">
              <w:rPr>
                <w:rFonts w:ascii="Cambria" w:hAnsi="Cambria"/>
              </w:rPr>
              <w:t xml:space="preserve"> Traditional “dependency the</w:t>
            </w:r>
            <w:r w:rsidR="00B7032E">
              <w:rPr>
                <w:rFonts w:ascii="Cambria" w:hAnsi="Cambria"/>
              </w:rPr>
              <w:t>ory” or even Marxist theory do</w:t>
            </w:r>
            <w:r w:rsidRPr="00025F8B">
              <w:rPr>
                <w:rFonts w:ascii="Cambria" w:hAnsi="Cambria"/>
              </w:rPr>
              <w:t xml:space="preserve"> not expect compradors to build a “national development” project; same for recent literature on the politics of the “middle-income trap” (</w:t>
            </w:r>
            <w:r w:rsidR="00276F87" w:rsidRPr="00025F8B">
              <w:rPr>
                <w:rFonts w:ascii="Cambria" w:hAnsi="Cambria"/>
              </w:rPr>
              <w:t>Doner &amp; Schneider, 2016)</w:t>
            </w:r>
          </w:p>
          <w:p w14:paraId="61C3F8A2" w14:textId="66D8901C" w:rsidR="00241406" w:rsidRPr="00025F8B" w:rsidRDefault="00241406" w:rsidP="003E2961">
            <w:pPr>
              <w:rPr>
                <w:rFonts w:ascii="Cambria" w:hAnsi="Cambria"/>
                <w:u w:val="single"/>
              </w:rPr>
            </w:pPr>
          </w:p>
        </w:tc>
        <w:tc>
          <w:tcPr>
            <w:tcW w:w="3339" w:type="dxa"/>
          </w:tcPr>
          <w:p w14:paraId="4D5CB335" w14:textId="77777777" w:rsidR="007E311F" w:rsidRPr="00025F8B" w:rsidRDefault="006D2825" w:rsidP="006D2825">
            <w:pPr>
              <w:jc w:val="center"/>
              <w:rPr>
                <w:rFonts w:ascii="Cambria" w:hAnsi="Cambria"/>
              </w:rPr>
            </w:pPr>
            <w:r w:rsidRPr="00025F8B">
              <w:rPr>
                <w:rFonts w:ascii="Cambria" w:hAnsi="Cambria"/>
              </w:rPr>
              <w:t>Low</w:t>
            </w:r>
          </w:p>
          <w:p w14:paraId="7853D78F" w14:textId="77777777" w:rsidR="006D2825" w:rsidRPr="00025F8B" w:rsidRDefault="006D2825" w:rsidP="006D2825">
            <w:pPr>
              <w:rPr>
                <w:rFonts w:ascii="Cambria" w:hAnsi="Cambria"/>
              </w:rPr>
            </w:pPr>
          </w:p>
          <w:p w14:paraId="3626431B" w14:textId="2A8463AB" w:rsidR="006D2825" w:rsidRPr="00025F8B" w:rsidRDefault="006D2825" w:rsidP="0080776D">
            <w:pPr>
              <w:rPr>
                <w:rFonts w:ascii="Cambria" w:hAnsi="Cambria"/>
              </w:rPr>
            </w:pPr>
            <w:r w:rsidRPr="00025F8B">
              <w:rPr>
                <w:rFonts w:ascii="Cambria" w:hAnsi="Cambria"/>
              </w:rPr>
              <w:t xml:space="preserve">(No update based on Polish context; this truly reflects my prior </w:t>
            </w:r>
            <w:r w:rsidR="0080776D" w:rsidRPr="00025F8B">
              <w:rPr>
                <w:rFonts w:ascii="Cambria" w:hAnsi="Cambria"/>
              </w:rPr>
              <w:t>at the beginning of the project</w:t>
            </w:r>
            <w:r w:rsidRPr="00025F8B">
              <w:rPr>
                <w:rFonts w:ascii="Cambria" w:hAnsi="Cambria"/>
              </w:rPr>
              <w:t>)</w:t>
            </w:r>
          </w:p>
        </w:tc>
      </w:tr>
      <w:tr w:rsidR="007E311F" w:rsidRPr="00025F8B" w14:paraId="5934C0DD" w14:textId="77777777" w:rsidTr="00621ECD">
        <w:tc>
          <w:tcPr>
            <w:tcW w:w="2178" w:type="dxa"/>
          </w:tcPr>
          <w:p w14:paraId="32FC3BA6" w14:textId="6CF7202E" w:rsidR="007E311F" w:rsidRPr="00025F8B" w:rsidRDefault="003E3366">
            <w:pPr>
              <w:rPr>
                <w:rFonts w:ascii="Cambria" w:hAnsi="Cambria"/>
                <w:i/>
              </w:rPr>
            </w:pPr>
            <w:r w:rsidRPr="00025F8B">
              <w:rPr>
                <w:rFonts w:ascii="Cambria" w:hAnsi="Cambria"/>
                <w:i/>
              </w:rPr>
              <w:t>“Popular” sectors, especially trade unions</w:t>
            </w:r>
          </w:p>
        </w:tc>
        <w:tc>
          <w:tcPr>
            <w:tcW w:w="3339" w:type="dxa"/>
          </w:tcPr>
          <w:p w14:paraId="5F9A6A50" w14:textId="758E5561" w:rsidR="003E3366" w:rsidRPr="00025F8B" w:rsidRDefault="002A662F" w:rsidP="003E3366">
            <w:pPr>
              <w:jc w:val="center"/>
              <w:rPr>
                <w:rFonts w:ascii="Cambria" w:hAnsi="Cambria"/>
              </w:rPr>
            </w:pPr>
            <w:r w:rsidRPr="00025F8B">
              <w:rPr>
                <w:rFonts w:ascii="Cambria" w:hAnsi="Cambria"/>
              </w:rPr>
              <w:t>M</w:t>
            </w:r>
            <w:r w:rsidR="003E3366" w:rsidRPr="00025F8B">
              <w:rPr>
                <w:rFonts w:ascii="Cambria" w:hAnsi="Cambria"/>
              </w:rPr>
              <w:t>edium</w:t>
            </w:r>
          </w:p>
          <w:p w14:paraId="41ED6497" w14:textId="77777777" w:rsidR="007E311F" w:rsidRPr="00025F8B" w:rsidRDefault="007E311F">
            <w:pPr>
              <w:rPr>
                <w:rFonts w:ascii="Cambria" w:hAnsi="Cambria"/>
              </w:rPr>
            </w:pPr>
          </w:p>
          <w:p w14:paraId="71F643B7" w14:textId="77777777" w:rsidR="003E3366" w:rsidRDefault="003E3366" w:rsidP="00F657E9">
            <w:pPr>
              <w:rPr>
                <w:rFonts w:ascii="Cambria" w:hAnsi="Cambria"/>
              </w:rPr>
            </w:pPr>
            <w:r w:rsidRPr="00025F8B">
              <w:rPr>
                <w:rFonts w:ascii="Cambria" w:hAnsi="Cambria"/>
                <w:u w:val="single"/>
              </w:rPr>
              <w:t>Rationale:</w:t>
            </w:r>
            <w:r w:rsidRPr="00025F8B">
              <w:rPr>
                <w:rFonts w:ascii="Cambria" w:hAnsi="Cambria"/>
              </w:rPr>
              <w:t xml:space="preserve"> </w:t>
            </w:r>
            <w:r w:rsidR="00CE69B4" w:rsidRPr="00025F8B">
              <w:rPr>
                <w:rFonts w:ascii="Cambria" w:hAnsi="Cambria"/>
              </w:rPr>
              <w:t>L</w:t>
            </w:r>
            <w:r w:rsidRPr="00025F8B">
              <w:rPr>
                <w:rFonts w:ascii="Cambria" w:hAnsi="Cambria"/>
              </w:rPr>
              <w:t>iterature on “old” developmentalism has considered “popular sectors” as passive agents that might have to be persuaded to support developmentalism through “side payments” – e.g. increased redistribution (Doner et al., 2005)</w:t>
            </w:r>
            <w:r w:rsidR="00CE69B4" w:rsidRPr="00025F8B">
              <w:rPr>
                <w:rFonts w:ascii="Cambria" w:hAnsi="Cambria"/>
              </w:rPr>
              <w:t xml:space="preserve">. Work on social democracy in Sweden also showed unions’ </w:t>
            </w:r>
            <w:r w:rsidR="002D656A" w:rsidRPr="00025F8B">
              <w:rPr>
                <w:rFonts w:ascii="Cambria" w:hAnsi="Cambria"/>
              </w:rPr>
              <w:t xml:space="preserve">ambiguous </w:t>
            </w:r>
            <w:r w:rsidR="00CE69B4" w:rsidRPr="00025F8B">
              <w:rPr>
                <w:rFonts w:ascii="Cambria" w:hAnsi="Cambria"/>
              </w:rPr>
              <w:t>relationship with dirigisme and industrial policies (Pontusson, 1992). R</w:t>
            </w:r>
            <w:r w:rsidR="00F657E9" w:rsidRPr="00025F8B">
              <w:rPr>
                <w:rFonts w:ascii="Cambria" w:hAnsi="Cambria"/>
              </w:rPr>
              <w:t xml:space="preserve">ecent work </w:t>
            </w:r>
            <w:r w:rsidR="00CE69B4" w:rsidRPr="00025F8B">
              <w:rPr>
                <w:rFonts w:ascii="Cambria" w:hAnsi="Cambria"/>
              </w:rPr>
              <w:t>suggest</w:t>
            </w:r>
            <w:r w:rsidR="00F657E9" w:rsidRPr="00025F8B">
              <w:rPr>
                <w:rFonts w:ascii="Cambria" w:hAnsi="Cambria"/>
              </w:rPr>
              <w:t>s</w:t>
            </w:r>
            <w:r w:rsidR="00CE69B4" w:rsidRPr="00025F8B">
              <w:rPr>
                <w:rFonts w:ascii="Cambria" w:hAnsi="Cambria"/>
              </w:rPr>
              <w:t xml:space="preserve"> unions may play a much more active role in </w:t>
            </w:r>
            <w:r w:rsidR="00F657E9" w:rsidRPr="00025F8B">
              <w:rPr>
                <w:rFonts w:ascii="Cambria" w:hAnsi="Cambria"/>
              </w:rPr>
              <w:t>industrial policies (Ornston 2012) and finance renationalization (Naqvi</w:t>
            </w:r>
            <w:r w:rsidR="002F1F35" w:rsidRPr="00025F8B">
              <w:rPr>
                <w:rFonts w:ascii="Cambria" w:hAnsi="Cambria"/>
              </w:rPr>
              <w:t xml:space="preserve"> </w:t>
            </w:r>
            <w:r w:rsidR="00F657E9" w:rsidRPr="00025F8B">
              <w:rPr>
                <w:rFonts w:ascii="Cambria" w:hAnsi="Cambria"/>
              </w:rPr>
              <w:t>2019)</w:t>
            </w:r>
            <w:r w:rsidR="00CE69B4" w:rsidRPr="00025F8B">
              <w:rPr>
                <w:rFonts w:ascii="Cambria" w:hAnsi="Cambria"/>
              </w:rPr>
              <w:t xml:space="preserve"> </w:t>
            </w:r>
          </w:p>
          <w:p w14:paraId="11892B3F" w14:textId="68F46BF0" w:rsidR="00241406" w:rsidRPr="00025F8B" w:rsidRDefault="00241406" w:rsidP="00F657E9">
            <w:pPr>
              <w:rPr>
                <w:rFonts w:ascii="Cambria" w:hAnsi="Cambria"/>
              </w:rPr>
            </w:pPr>
          </w:p>
        </w:tc>
        <w:tc>
          <w:tcPr>
            <w:tcW w:w="3339" w:type="dxa"/>
          </w:tcPr>
          <w:p w14:paraId="65546C40" w14:textId="77777777" w:rsidR="007E311F" w:rsidRPr="00025F8B" w:rsidRDefault="002A662F" w:rsidP="002A662F">
            <w:pPr>
              <w:jc w:val="center"/>
              <w:rPr>
                <w:rFonts w:ascii="Cambria" w:hAnsi="Cambria"/>
              </w:rPr>
            </w:pPr>
            <w:r w:rsidRPr="00025F8B">
              <w:rPr>
                <w:rFonts w:ascii="Cambria" w:hAnsi="Cambria"/>
              </w:rPr>
              <w:t>Low</w:t>
            </w:r>
          </w:p>
          <w:p w14:paraId="40B11E1E" w14:textId="77777777" w:rsidR="002A662F" w:rsidRPr="00025F8B" w:rsidRDefault="002A662F" w:rsidP="002A662F">
            <w:pPr>
              <w:jc w:val="center"/>
              <w:rPr>
                <w:rFonts w:ascii="Cambria" w:hAnsi="Cambria"/>
              </w:rPr>
            </w:pPr>
          </w:p>
          <w:p w14:paraId="564CBE7E" w14:textId="09C2AAED" w:rsidR="002A662F" w:rsidRPr="00025F8B" w:rsidRDefault="002A662F" w:rsidP="00B76A4C">
            <w:pPr>
              <w:rPr>
                <w:rFonts w:ascii="Cambria" w:hAnsi="Cambria"/>
                <w:u w:val="single"/>
              </w:rPr>
            </w:pPr>
            <w:r w:rsidRPr="00025F8B">
              <w:rPr>
                <w:rFonts w:ascii="Cambria" w:hAnsi="Cambria"/>
                <w:u w:val="single"/>
              </w:rPr>
              <w:t>Rationale:</w:t>
            </w:r>
            <w:r w:rsidR="00B76A4C" w:rsidRPr="00025F8B">
              <w:rPr>
                <w:rFonts w:ascii="Cambria" w:hAnsi="Cambria"/>
              </w:rPr>
              <w:t xml:space="preserve"> Despite the strength of the “Solidarność” movement in the 1980s, Polish trade unions have been greatly weakened by economic transformation in the 1990s and 2000s and are not only politically fragmented (with Christian-conservative NSZZ Solidarność, post-communist OPZZ and more independent FZZ), but, most of all, have very low density (ICTWSS data</w:t>
            </w:r>
            <w:r w:rsidR="00F257BB" w:rsidRPr="00025F8B">
              <w:rPr>
                <w:rFonts w:ascii="Cambria" w:hAnsi="Cambria"/>
              </w:rPr>
              <w:t>base</w:t>
            </w:r>
            <w:r w:rsidR="00B76A4C" w:rsidRPr="00025F8B">
              <w:rPr>
                <w:rFonts w:ascii="Cambria" w:hAnsi="Cambria"/>
              </w:rPr>
              <w:t>) and low organizational resources (e.g. Ost, 2000; 2005)</w:t>
            </w:r>
            <w:r w:rsidR="008501A7" w:rsidRPr="00025F8B">
              <w:rPr>
                <w:rFonts w:ascii="Cambria" w:hAnsi="Cambria"/>
              </w:rPr>
              <w:t>.</w:t>
            </w:r>
          </w:p>
        </w:tc>
      </w:tr>
      <w:tr w:rsidR="007E311F" w:rsidRPr="00025F8B" w14:paraId="2624212F" w14:textId="77777777" w:rsidTr="00621ECD">
        <w:tc>
          <w:tcPr>
            <w:tcW w:w="2178" w:type="dxa"/>
          </w:tcPr>
          <w:p w14:paraId="57D7B700" w14:textId="05772262" w:rsidR="007E311F" w:rsidRPr="00025F8B" w:rsidRDefault="00C73E36">
            <w:pPr>
              <w:rPr>
                <w:rFonts w:ascii="Cambria" w:hAnsi="Cambria"/>
                <w:i/>
              </w:rPr>
            </w:pPr>
            <w:r w:rsidRPr="00025F8B">
              <w:rPr>
                <w:rFonts w:ascii="Cambria" w:hAnsi="Cambria"/>
                <w:i/>
              </w:rPr>
              <w:t>International organizations (European Commission) and international financial institutions (EBRD, EIB, IMF, World Bank)</w:t>
            </w:r>
          </w:p>
        </w:tc>
        <w:tc>
          <w:tcPr>
            <w:tcW w:w="3339" w:type="dxa"/>
          </w:tcPr>
          <w:p w14:paraId="466EB07D" w14:textId="23F666DE" w:rsidR="007E311F" w:rsidRPr="00025F8B" w:rsidRDefault="00C73E36" w:rsidP="00C73E36">
            <w:pPr>
              <w:jc w:val="center"/>
              <w:rPr>
                <w:rFonts w:ascii="Cambria" w:hAnsi="Cambria"/>
              </w:rPr>
            </w:pPr>
            <w:r w:rsidRPr="00025F8B">
              <w:rPr>
                <w:rFonts w:ascii="Cambria" w:hAnsi="Cambria"/>
              </w:rPr>
              <w:t>Low-to-medium</w:t>
            </w:r>
          </w:p>
          <w:p w14:paraId="7937C83C" w14:textId="77777777" w:rsidR="00C73E36" w:rsidRPr="00025F8B" w:rsidRDefault="00C73E36" w:rsidP="00C73E36">
            <w:pPr>
              <w:jc w:val="center"/>
              <w:rPr>
                <w:rFonts w:ascii="Cambria" w:hAnsi="Cambria"/>
              </w:rPr>
            </w:pPr>
          </w:p>
          <w:p w14:paraId="0F90C5B6" w14:textId="4B53B3BD" w:rsidR="00C73E36" w:rsidRDefault="00467262" w:rsidP="00F347EF">
            <w:pPr>
              <w:rPr>
                <w:rFonts w:ascii="Cambria" w:hAnsi="Cambria"/>
              </w:rPr>
            </w:pPr>
            <w:r>
              <w:rPr>
                <w:rFonts w:ascii="Cambria" w:hAnsi="Cambria"/>
              </w:rPr>
              <w:t>While most</w:t>
            </w:r>
            <w:r w:rsidR="00C73E36" w:rsidRPr="00025F8B">
              <w:rPr>
                <w:rFonts w:ascii="Cambria" w:hAnsi="Cambria"/>
              </w:rPr>
              <w:t xml:space="preserve"> IPE literature since the 1980s has seen IOs and IFIs as the “liberalizers”, recent literature suggests </w:t>
            </w:r>
            <w:r w:rsidR="00023759" w:rsidRPr="00025F8B">
              <w:rPr>
                <w:rFonts w:ascii="Cambria" w:hAnsi="Cambria"/>
              </w:rPr>
              <w:t xml:space="preserve">that IFIs and IOs have increasingly acted as “enablers” of (which, in my interpretation, suggests a somewhat more passive role in supporting) financial nationalism in Hungary (Johnson &amp; Barnes, 2015) </w:t>
            </w:r>
            <w:r w:rsidR="00B7032E">
              <w:rPr>
                <w:rFonts w:ascii="Cambria" w:hAnsi="Cambria"/>
              </w:rPr>
              <w:t>and,</w:t>
            </w:r>
            <w:r w:rsidR="00023759" w:rsidRPr="00025F8B">
              <w:rPr>
                <w:rFonts w:ascii="Cambria" w:hAnsi="Cambria"/>
              </w:rPr>
              <w:t xml:space="preserve"> in European developmental banking, as engaging in direct institution building, particularly in countries with weaker pre-existing development institutions (</w:t>
            </w:r>
            <w:r w:rsidR="00F347EF" w:rsidRPr="00025F8B">
              <w:rPr>
                <w:rFonts w:ascii="Cambria" w:hAnsi="Cambria"/>
              </w:rPr>
              <w:t>Mertens &amp; Thiemann, 2019; 2020)</w:t>
            </w:r>
          </w:p>
          <w:p w14:paraId="0994573E" w14:textId="12CCDEC8" w:rsidR="00241406" w:rsidRPr="00025F8B" w:rsidRDefault="00241406" w:rsidP="00F347EF">
            <w:pPr>
              <w:rPr>
                <w:rFonts w:ascii="Cambria" w:hAnsi="Cambria"/>
              </w:rPr>
            </w:pPr>
          </w:p>
        </w:tc>
        <w:tc>
          <w:tcPr>
            <w:tcW w:w="3339" w:type="dxa"/>
          </w:tcPr>
          <w:p w14:paraId="44ED66A4" w14:textId="0F839257" w:rsidR="007E311F" w:rsidRPr="00025F8B" w:rsidRDefault="00C73E36" w:rsidP="00AE232E">
            <w:pPr>
              <w:jc w:val="center"/>
              <w:rPr>
                <w:rFonts w:ascii="Cambria" w:hAnsi="Cambria"/>
              </w:rPr>
            </w:pPr>
            <w:r w:rsidRPr="00025F8B">
              <w:rPr>
                <w:rFonts w:ascii="Cambria" w:hAnsi="Cambria"/>
              </w:rPr>
              <w:t>Low-to-medium</w:t>
            </w:r>
          </w:p>
          <w:p w14:paraId="01D03278" w14:textId="77777777" w:rsidR="00AE232E" w:rsidRPr="00025F8B" w:rsidRDefault="00AE232E" w:rsidP="00AE232E">
            <w:pPr>
              <w:jc w:val="center"/>
              <w:rPr>
                <w:rFonts w:ascii="Cambria" w:hAnsi="Cambria"/>
              </w:rPr>
            </w:pPr>
          </w:p>
          <w:p w14:paraId="1AE389A4" w14:textId="74DD9EB3" w:rsidR="00AE232E" w:rsidRPr="00025F8B" w:rsidRDefault="00AE232E" w:rsidP="00AE232E">
            <w:pPr>
              <w:rPr>
                <w:rFonts w:ascii="Cambria" w:hAnsi="Cambria"/>
              </w:rPr>
            </w:pPr>
            <w:r w:rsidRPr="00025F8B">
              <w:rPr>
                <w:rFonts w:ascii="Cambria" w:hAnsi="Cambria"/>
              </w:rPr>
              <w:t>(No update based on Polish context)</w:t>
            </w:r>
          </w:p>
        </w:tc>
      </w:tr>
    </w:tbl>
    <w:p w14:paraId="039D28E0" w14:textId="1F758FAB" w:rsidR="007E311F" w:rsidRPr="00025F8B" w:rsidRDefault="007E311F">
      <w:pPr>
        <w:rPr>
          <w:rFonts w:ascii="Cambria" w:hAnsi="Cambria"/>
        </w:rPr>
      </w:pPr>
    </w:p>
    <w:p w14:paraId="419B4FF3" w14:textId="3D439025" w:rsidR="009A475F" w:rsidRPr="00025F8B" w:rsidRDefault="009A475F" w:rsidP="00FB4709">
      <w:pPr>
        <w:pStyle w:val="Heading1"/>
        <w:jc w:val="both"/>
        <w:rPr>
          <w:rFonts w:ascii="Cambria" w:hAnsi="Cambria"/>
          <w:color w:val="auto"/>
          <w:sz w:val="24"/>
          <w:szCs w:val="24"/>
        </w:rPr>
      </w:pPr>
      <w:bookmarkStart w:id="2" w:name="_Toc470355598"/>
      <w:r w:rsidRPr="00025F8B">
        <w:rPr>
          <w:rFonts w:ascii="Cambria" w:hAnsi="Cambria"/>
          <w:color w:val="auto"/>
          <w:sz w:val="24"/>
          <w:szCs w:val="24"/>
        </w:rPr>
        <w:t xml:space="preserve">A.4.3. </w:t>
      </w:r>
      <w:r w:rsidR="000C56E8" w:rsidRPr="00025F8B">
        <w:rPr>
          <w:rFonts w:ascii="Cambria" w:hAnsi="Cambria"/>
          <w:color w:val="auto"/>
          <w:sz w:val="24"/>
          <w:szCs w:val="24"/>
        </w:rPr>
        <w:t xml:space="preserve">Eliminating implausible suspects: </w:t>
      </w:r>
      <w:r w:rsidRPr="00025F8B">
        <w:rPr>
          <w:rFonts w:ascii="Cambria" w:hAnsi="Cambria"/>
          <w:color w:val="auto"/>
          <w:sz w:val="24"/>
          <w:szCs w:val="24"/>
        </w:rPr>
        <w:t>The “</w:t>
      </w:r>
      <w:r w:rsidR="008B6461" w:rsidRPr="00025F8B">
        <w:rPr>
          <w:rFonts w:ascii="Cambria" w:hAnsi="Cambria"/>
          <w:color w:val="auto"/>
          <w:sz w:val="24"/>
          <w:szCs w:val="24"/>
        </w:rPr>
        <w:t>guilty mind</w:t>
      </w:r>
      <w:r w:rsidRPr="00025F8B">
        <w:rPr>
          <w:rFonts w:ascii="Cambria" w:hAnsi="Cambria"/>
          <w:color w:val="auto"/>
          <w:sz w:val="24"/>
          <w:szCs w:val="24"/>
        </w:rPr>
        <w:t>” and “</w:t>
      </w:r>
      <w:r w:rsidR="008B6461" w:rsidRPr="00025F8B">
        <w:rPr>
          <w:rFonts w:ascii="Cambria" w:hAnsi="Cambria"/>
          <w:color w:val="auto"/>
          <w:sz w:val="24"/>
          <w:szCs w:val="24"/>
        </w:rPr>
        <w:t>guilty act</w:t>
      </w:r>
      <w:r w:rsidRPr="00025F8B">
        <w:rPr>
          <w:rFonts w:ascii="Cambria" w:hAnsi="Cambria"/>
          <w:color w:val="auto"/>
          <w:sz w:val="24"/>
          <w:szCs w:val="24"/>
        </w:rPr>
        <w:t>” hoop tests</w:t>
      </w:r>
      <w:bookmarkEnd w:id="2"/>
    </w:p>
    <w:p w14:paraId="0A8D63AA" w14:textId="77777777" w:rsidR="00215737" w:rsidRPr="00025F8B" w:rsidRDefault="00215737" w:rsidP="00FB4709">
      <w:pPr>
        <w:jc w:val="both"/>
        <w:rPr>
          <w:rFonts w:ascii="Cambria" w:hAnsi="Cambria"/>
        </w:rPr>
      </w:pPr>
    </w:p>
    <w:p w14:paraId="121DA104" w14:textId="19ED1FE4" w:rsidR="002C13BE" w:rsidRPr="00025F8B" w:rsidRDefault="00AA46D8" w:rsidP="00FB4709">
      <w:pPr>
        <w:jc w:val="both"/>
        <w:rPr>
          <w:rFonts w:ascii="Cambria" w:hAnsi="Cambria"/>
        </w:rPr>
      </w:pPr>
      <w:r w:rsidRPr="00025F8B">
        <w:rPr>
          <w:rFonts w:ascii="Cambria" w:hAnsi="Cambria"/>
        </w:rPr>
        <w:t>Despite having been well defined since</w:t>
      </w:r>
      <w:r w:rsidR="009824AB" w:rsidRPr="00025F8B">
        <w:rPr>
          <w:rFonts w:ascii="Cambria" w:hAnsi="Cambria"/>
        </w:rPr>
        <w:t xml:space="preserve"> the</w:t>
      </w:r>
      <w:r w:rsidRPr="00025F8B">
        <w:rPr>
          <w:rFonts w:ascii="Cambria" w:hAnsi="Cambria"/>
        </w:rPr>
        <w:t xml:space="preserve"> late 2000s (Bennett, 2008; </w:t>
      </w:r>
      <w:r w:rsidR="00B47B41" w:rsidRPr="00025F8B">
        <w:rPr>
          <w:rFonts w:ascii="Cambria" w:hAnsi="Cambria"/>
        </w:rPr>
        <w:t>Collier, 2011), p</w:t>
      </w:r>
      <w:r w:rsidR="0021505E" w:rsidRPr="00025F8B">
        <w:rPr>
          <w:rFonts w:ascii="Cambria" w:hAnsi="Cambria"/>
        </w:rPr>
        <w:t>rocess-</w:t>
      </w:r>
      <w:r w:rsidR="009824AB" w:rsidRPr="00025F8B">
        <w:rPr>
          <w:rFonts w:ascii="Cambria" w:hAnsi="Cambria"/>
        </w:rPr>
        <w:t>tracing</w:t>
      </w:r>
      <w:r w:rsidR="00773D0E" w:rsidRPr="00025F8B">
        <w:rPr>
          <w:rFonts w:ascii="Cambria" w:hAnsi="Cambria"/>
        </w:rPr>
        <w:t xml:space="preserve"> tests </w:t>
      </w:r>
      <w:r w:rsidR="00B47B41" w:rsidRPr="00025F8B">
        <w:rPr>
          <w:rFonts w:ascii="Cambria" w:hAnsi="Cambria"/>
        </w:rPr>
        <w:t>are</w:t>
      </w:r>
      <w:r w:rsidR="00773D0E" w:rsidRPr="00025F8B">
        <w:rPr>
          <w:rFonts w:ascii="Cambria" w:hAnsi="Cambria"/>
        </w:rPr>
        <w:t xml:space="preserve"> </w:t>
      </w:r>
      <w:r w:rsidRPr="00025F8B">
        <w:rPr>
          <w:rFonts w:ascii="Cambria" w:hAnsi="Cambria"/>
        </w:rPr>
        <w:t xml:space="preserve">rarely </w:t>
      </w:r>
      <w:r w:rsidR="00773D0E" w:rsidRPr="00025F8B">
        <w:rPr>
          <w:rFonts w:ascii="Cambria" w:hAnsi="Cambria"/>
        </w:rPr>
        <w:t xml:space="preserve">used </w:t>
      </w:r>
      <w:r w:rsidRPr="00025F8B">
        <w:rPr>
          <w:rFonts w:ascii="Cambria" w:hAnsi="Cambria"/>
        </w:rPr>
        <w:t>explicitly</w:t>
      </w:r>
      <w:r w:rsidR="00773D0E" w:rsidRPr="00025F8B">
        <w:rPr>
          <w:rFonts w:ascii="Cambria" w:hAnsi="Cambria"/>
        </w:rPr>
        <w:t xml:space="preserve"> in applied research</w:t>
      </w:r>
      <w:r w:rsidRPr="00025F8B">
        <w:rPr>
          <w:rFonts w:ascii="Cambria" w:hAnsi="Cambria"/>
        </w:rPr>
        <w:t>.</w:t>
      </w:r>
      <w:r w:rsidR="00B47B41" w:rsidRPr="00025F8B">
        <w:rPr>
          <w:rFonts w:ascii="Cambria" w:hAnsi="Cambria"/>
        </w:rPr>
        <w:t xml:space="preserve"> One reason for this may </w:t>
      </w:r>
      <w:r w:rsidR="007147C5">
        <w:rPr>
          <w:rFonts w:ascii="Cambria" w:hAnsi="Cambria"/>
        </w:rPr>
        <w:t xml:space="preserve">somewhat paradoxically </w:t>
      </w:r>
      <w:r w:rsidR="00B47B41" w:rsidRPr="00025F8B">
        <w:rPr>
          <w:rFonts w:ascii="Cambria" w:hAnsi="Cambria"/>
        </w:rPr>
        <w:t xml:space="preserve">have to do with the growing consensus </w:t>
      </w:r>
      <w:r w:rsidR="009824AB" w:rsidRPr="00025F8B">
        <w:rPr>
          <w:rFonts w:ascii="Cambria" w:hAnsi="Cambria"/>
        </w:rPr>
        <w:t>among methodologists</w:t>
      </w:r>
      <w:r w:rsidR="00B47B41" w:rsidRPr="00025F8B">
        <w:rPr>
          <w:rFonts w:ascii="Cambria" w:hAnsi="Cambria"/>
        </w:rPr>
        <w:t xml:space="preserve"> that process tracing is most useful </w:t>
      </w:r>
      <w:r w:rsidR="0021505E" w:rsidRPr="00025F8B">
        <w:rPr>
          <w:rFonts w:ascii="Cambria" w:hAnsi="Cambria"/>
        </w:rPr>
        <w:t xml:space="preserve">for </w:t>
      </w:r>
      <w:r w:rsidR="00B47B41" w:rsidRPr="00025F8B">
        <w:rPr>
          <w:rFonts w:ascii="Cambria" w:hAnsi="Cambria"/>
        </w:rPr>
        <w:t xml:space="preserve">developing or testing hypotheses about </w:t>
      </w:r>
      <w:r w:rsidR="00B47B41" w:rsidRPr="00025F8B">
        <w:rPr>
          <w:rFonts w:ascii="Cambria" w:hAnsi="Cambria"/>
          <w:i/>
        </w:rPr>
        <w:t>causal mechanisms</w:t>
      </w:r>
      <w:r w:rsidR="00B47B41" w:rsidRPr="00025F8B">
        <w:rPr>
          <w:rFonts w:ascii="Cambria" w:hAnsi="Cambria"/>
        </w:rPr>
        <w:t xml:space="preserve">. </w:t>
      </w:r>
      <w:r w:rsidR="002C13BE" w:rsidRPr="00025F8B">
        <w:rPr>
          <w:rFonts w:ascii="Cambria" w:hAnsi="Cambria"/>
        </w:rPr>
        <w:t xml:space="preserve">The emphasis on causal mechanisms </w:t>
      </w:r>
      <w:r w:rsidR="007A21CD">
        <w:rPr>
          <w:rFonts w:ascii="Cambria" w:hAnsi="Cambria"/>
        </w:rPr>
        <w:t>stems from</w:t>
      </w:r>
      <w:r w:rsidR="002C13BE" w:rsidRPr="00025F8B">
        <w:rPr>
          <w:rFonts w:ascii="Cambria" w:hAnsi="Cambria"/>
        </w:rPr>
        <w:t xml:space="preserve"> the capacity of process tracing to provide evidence for the </w:t>
      </w:r>
      <w:r w:rsidR="0021505E" w:rsidRPr="00025F8B">
        <w:rPr>
          <w:rFonts w:ascii="Cambria" w:hAnsi="Cambria"/>
        </w:rPr>
        <w:t>“</w:t>
      </w:r>
      <w:r w:rsidR="002C13BE" w:rsidRPr="00025F8B">
        <w:rPr>
          <w:rFonts w:ascii="Cambria" w:hAnsi="Cambria"/>
        </w:rPr>
        <w:t>intervening causal process</w:t>
      </w:r>
      <w:r w:rsidR="0021505E" w:rsidRPr="00025F8B">
        <w:rPr>
          <w:rFonts w:ascii="Cambria" w:hAnsi="Cambria"/>
        </w:rPr>
        <w:t>”</w:t>
      </w:r>
      <w:r w:rsidR="002C13BE" w:rsidRPr="00025F8B">
        <w:rPr>
          <w:rFonts w:ascii="Cambria" w:hAnsi="Cambria"/>
        </w:rPr>
        <w:t xml:space="preserve"> or the </w:t>
      </w:r>
      <w:r w:rsidR="0021505E" w:rsidRPr="00025F8B">
        <w:rPr>
          <w:rFonts w:ascii="Cambria" w:hAnsi="Cambria"/>
        </w:rPr>
        <w:t>“</w:t>
      </w:r>
      <w:r w:rsidR="002C13BE" w:rsidRPr="00025F8B">
        <w:rPr>
          <w:rFonts w:ascii="Cambria" w:hAnsi="Cambria"/>
        </w:rPr>
        <w:t>interlocking parts</w:t>
      </w:r>
      <w:r w:rsidR="0021505E" w:rsidRPr="00025F8B">
        <w:rPr>
          <w:rFonts w:ascii="Cambria" w:hAnsi="Cambria"/>
        </w:rPr>
        <w:t>”</w:t>
      </w:r>
      <w:r w:rsidR="002C13BE" w:rsidRPr="00025F8B">
        <w:rPr>
          <w:rFonts w:ascii="Cambria" w:hAnsi="Cambria"/>
        </w:rPr>
        <w:t xml:space="preserve"> that transmit forces from a specific condition/cause – or set of causes - to an outcome of interest (Beach &amp; Pedersen, 2019: chapter 2)</w:t>
      </w:r>
      <w:r w:rsidR="007A21CD">
        <w:rPr>
          <w:rFonts w:ascii="Cambria" w:hAnsi="Cambria"/>
        </w:rPr>
        <w:t xml:space="preserve"> and therefore from the capacity of process tracing</w:t>
      </w:r>
      <w:r w:rsidR="002C13BE" w:rsidRPr="00025F8B">
        <w:rPr>
          <w:rFonts w:ascii="Cambria" w:hAnsi="Cambria"/>
        </w:rPr>
        <w:t xml:space="preserve"> to “open the black box of causality” (Trampusch &amp; Palier, 2016). Yet </w:t>
      </w:r>
      <w:r w:rsidR="007A21CD">
        <w:rPr>
          <w:rFonts w:ascii="Cambria" w:hAnsi="Cambria"/>
        </w:rPr>
        <w:t xml:space="preserve">process-tracers tend to theorize relatively complex </w:t>
      </w:r>
      <w:r w:rsidR="002C13BE" w:rsidRPr="00025F8B">
        <w:rPr>
          <w:rFonts w:ascii="Cambria" w:hAnsi="Cambria"/>
        </w:rPr>
        <w:t>causal mechanisms</w:t>
      </w:r>
      <w:r w:rsidR="007A21CD">
        <w:rPr>
          <w:rFonts w:ascii="Cambria" w:hAnsi="Cambria"/>
        </w:rPr>
        <w:t xml:space="preserve"> </w:t>
      </w:r>
      <w:r w:rsidR="002C13BE" w:rsidRPr="00025F8B">
        <w:rPr>
          <w:rFonts w:ascii="Cambria" w:hAnsi="Cambria"/>
        </w:rPr>
        <w:t xml:space="preserve">– </w:t>
      </w:r>
      <w:r w:rsidR="007A21CD">
        <w:rPr>
          <w:rFonts w:ascii="Cambria" w:hAnsi="Cambria"/>
        </w:rPr>
        <w:t>one example being</w:t>
      </w:r>
      <w:r w:rsidR="002C13BE" w:rsidRPr="00025F8B">
        <w:rPr>
          <w:rFonts w:ascii="Cambria" w:hAnsi="Cambria"/>
        </w:rPr>
        <w:t xml:space="preserve"> the mechanism theorized in this specific paper: </w:t>
      </w:r>
      <w:r w:rsidR="007A21CD">
        <w:rPr>
          <w:rFonts w:ascii="Cambria" w:hAnsi="Cambria"/>
        </w:rPr>
        <w:t>Mechanisms</w:t>
      </w:r>
      <w:r w:rsidR="002C13BE" w:rsidRPr="00025F8B">
        <w:rPr>
          <w:rFonts w:ascii="Cambria" w:hAnsi="Cambria"/>
        </w:rPr>
        <w:t xml:space="preserve"> can have a relatively large number of “interlocking parts” and those parts can be activated </w:t>
      </w:r>
      <w:r w:rsidR="007A5CEC" w:rsidRPr="00025F8B">
        <w:rPr>
          <w:rFonts w:ascii="Cambria" w:hAnsi="Cambria"/>
        </w:rPr>
        <w:t>by</w:t>
      </w:r>
      <w:r w:rsidR="00DB1C6B" w:rsidRPr="00025F8B">
        <w:rPr>
          <w:rFonts w:ascii="Cambria" w:hAnsi="Cambria"/>
        </w:rPr>
        <w:t>, or themselves activate,</w:t>
      </w:r>
      <w:r w:rsidR="007A5CEC" w:rsidRPr="00025F8B">
        <w:rPr>
          <w:rFonts w:ascii="Cambria" w:hAnsi="Cambria"/>
        </w:rPr>
        <w:t xml:space="preserve"> a variety of</w:t>
      </w:r>
      <w:r w:rsidR="002C13BE" w:rsidRPr="00025F8B">
        <w:rPr>
          <w:rFonts w:ascii="Cambria" w:hAnsi="Cambria"/>
        </w:rPr>
        <w:t xml:space="preserve"> causal</w:t>
      </w:r>
      <w:r w:rsidR="007A5CEC" w:rsidRPr="00025F8B">
        <w:rPr>
          <w:rFonts w:ascii="Cambria" w:hAnsi="Cambria"/>
        </w:rPr>
        <w:t xml:space="preserve"> – e.g. structural or ideational – forces. This complexity has </w:t>
      </w:r>
      <w:r w:rsidR="00DF1782" w:rsidRPr="00025F8B">
        <w:rPr>
          <w:rFonts w:ascii="Cambria" w:hAnsi="Cambria"/>
        </w:rPr>
        <w:t>led to</w:t>
      </w:r>
      <w:r w:rsidR="007A5CEC" w:rsidRPr="00025F8B">
        <w:rPr>
          <w:rFonts w:ascii="Cambria" w:hAnsi="Cambria"/>
        </w:rPr>
        <w:t xml:space="preserve"> a tend</w:t>
      </w:r>
      <w:r w:rsidR="0021505E" w:rsidRPr="00025F8B">
        <w:rPr>
          <w:rFonts w:ascii="Cambria" w:hAnsi="Cambria"/>
        </w:rPr>
        <w:t>ency to think about process-</w:t>
      </w:r>
      <w:r w:rsidR="007A5CEC" w:rsidRPr="00025F8B">
        <w:rPr>
          <w:rFonts w:ascii="Cambria" w:hAnsi="Cambria"/>
        </w:rPr>
        <w:t xml:space="preserve">tracing tests in an </w:t>
      </w:r>
      <w:r w:rsidR="007A5CEC" w:rsidRPr="00025F8B">
        <w:rPr>
          <w:rFonts w:ascii="Cambria" w:hAnsi="Cambria"/>
          <w:i/>
        </w:rPr>
        <w:t>ad hoc</w:t>
      </w:r>
      <w:r w:rsidR="007A5CEC" w:rsidRPr="00025F8B">
        <w:rPr>
          <w:rFonts w:ascii="Cambria" w:hAnsi="Cambria"/>
        </w:rPr>
        <w:t xml:space="preserve"> </w:t>
      </w:r>
      <w:r w:rsidR="0021505E" w:rsidRPr="00025F8B">
        <w:rPr>
          <w:rFonts w:ascii="Cambria" w:hAnsi="Cambria"/>
        </w:rPr>
        <w:t>fashion</w:t>
      </w:r>
      <w:r w:rsidR="007A5CEC" w:rsidRPr="00025F8B">
        <w:rPr>
          <w:rFonts w:ascii="Cambria" w:hAnsi="Cambria"/>
        </w:rPr>
        <w:t xml:space="preserve"> where “separate</w:t>
      </w:r>
      <w:r w:rsidR="00EB2EB1" w:rsidRPr="00025F8B">
        <w:rPr>
          <w:rStyle w:val="FootnoteReference"/>
          <w:rFonts w:ascii="Cambria" w:hAnsi="Cambria"/>
        </w:rPr>
        <w:footnoteReference w:id="6"/>
      </w:r>
      <w:r w:rsidR="007A5CEC" w:rsidRPr="00025F8B">
        <w:rPr>
          <w:rFonts w:ascii="Cambria" w:hAnsi="Cambria"/>
        </w:rPr>
        <w:t xml:space="preserve"> process tracing tests are typically required for each individual explanation” (Mahoney, 2012, p. 573)</w:t>
      </w:r>
      <w:r w:rsidR="00EB2EB1" w:rsidRPr="00025F8B">
        <w:rPr>
          <w:rFonts w:ascii="Cambria" w:hAnsi="Cambria"/>
        </w:rPr>
        <w:t xml:space="preserve">. </w:t>
      </w:r>
    </w:p>
    <w:p w14:paraId="62C746FF" w14:textId="77777777" w:rsidR="00AA46D8" w:rsidRPr="00025F8B" w:rsidRDefault="00AA46D8" w:rsidP="00FB4709">
      <w:pPr>
        <w:jc w:val="both"/>
        <w:rPr>
          <w:rFonts w:ascii="Cambria" w:hAnsi="Cambria"/>
        </w:rPr>
      </w:pPr>
    </w:p>
    <w:p w14:paraId="06847AF1" w14:textId="390D2F12" w:rsidR="00E93CE9" w:rsidRPr="00025F8B" w:rsidRDefault="00E93CE9" w:rsidP="00FB4709">
      <w:pPr>
        <w:jc w:val="both"/>
        <w:rPr>
          <w:rFonts w:ascii="Cambria" w:hAnsi="Cambria"/>
        </w:rPr>
      </w:pPr>
      <w:r w:rsidRPr="00025F8B">
        <w:rPr>
          <w:rFonts w:ascii="Cambria" w:hAnsi="Cambria"/>
        </w:rPr>
        <w:t xml:space="preserve">Yet, </w:t>
      </w:r>
      <w:r w:rsidR="00A44AAD">
        <w:rPr>
          <w:rFonts w:ascii="Cambria" w:hAnsi="Cambria"/>
        </w:rPr>
        <w:t>although</w:t>
      </w:r>
      <w:r w:rsidRPr="00025F8B">
        <w:rPr>
          <w:rFonts w:ascii="Cambria" w:hAnsi="Cambria"/>
        </w:rPr>
        <w:t xml:space="preserve"> one of my questions is </w:t>
      </w:r>
      <w:r w:rsidR="00A44AAD">
        <w:rPr>
          <w:rFonts w:ascii="Cambria" w:hAnsi="Cambria"/>
        </w:rPr>
        <w:t>about</w:t>
      </w:r>
      <w:r w:rsidRPr="00025F8B">
        <w:rPr>
          <w:rFonts w:ascii="Cambria" w:hAnsi="Cambria"/>
        </w:rPr>
        <w:t xml:space="preserve"> </w:t>
      </w:r>
      <w:r w:rsidR="00A44AAD">
        <w:rPr>
          <w:rFonts w:ascii="Cambria" w:hAnsi="Cambria"/>
        </w:rPr>
        <w:t>the</w:t>
      </w:r>
      <w:r w:rsidRPr="00025F8B">
        <w:rPr>
          <w:rFonts w:ascii="Cambria" w:hAnsi="Cambria"/>
        </w:rPr>
        <w:t xml:space="preserve"> causal mechanism explain</w:t>
      </w:r>
      <w:r w:rsidR="00A44AAD">
        <w:rPr>
          <w:rFonts w:ascii="Cambria" w:hAnsi="Cambria"/>
        </w:rPr>
        <w:t>ing</w:t>
      </w:r>
      <w:r w:rsidRPr="00025F8B">
        <w:rPr>
          <w:rFonts w:ascii="Cambria" w:hAnsi="Cambria"/>
        </w:rPr>
        <w:t xml:space="preserve"> </w:t>
      </w:r>
      <w:r w:rsidRPr="00025F8B">
        <w:rPr>
          <w:rFonts w:ascii="Cambria" w:hAnsi="Cambria"/>
          <w:i/>
        </w:rPr>
        <w:t>why</w:t>
      </w:r>
      <w:r w:rsidRPr="00025F8B">
        <w:rPr>
          <w:rFonts w:ascii="Cambria" w:hAnsi="Cambria"/>
        </w:rPr>
        <w:t xml:space="preserve"> a specific set of actors (in my case, comprador bankers) initiated </w:t>
      </w:r>
      <w:r w:rsidR="0021562D">
        <w:rPr>
          <w:rFonts w:ascii="Cambria" w:hAnsi="Cambria"/>
        </w:rPr>
        <w:t xml:space="preserve">change </w:t>
      </w:r>
      <w:r w:rsidRPr="00025F8B">
        <w:rPr>
          <w:rFonts w:ascii="Cambria" w:hAnsi="Cambria"/>
        </w:rPr>
        <w:t xml:space="preserve">and has been sufficiently influential to carry </w:t>
      </w:r>
      <w:r w:rsidR="0021562D">
        <w:rPr>
          <w:rFonts w:ascii="Cambria" w:hAnsi="Cambria"/>
        </w:rPr>
        <w:t>it</w:t>
      </w:r>
      <w:r w:rsidRPr="00025F8B">
        <w:rPr>
          <w:rFonts w:ascii="Cambria" w:hAnsi="Cambria"/>
        </w:rPr>
        <w:t xml:space="preserve"> through, my other – perhaps more central – question is</w:t>
      </w:r>
      <w:r w:rsidR="0021505E" w:rsidRPr="00025F8B">
        <w:rPr>
          <w:rFonts w:ascii="Cambria" w:hAnsi="Cambria"/>
        </w:rPr>
        <w:t>:</w:t>
      </w:r>
      <w:r w:rsidRPr="00025F8B">
        <w:rPr>
          <w:rFonts w:ascii="Cambria" w:hAnsi="Cambria"/>
        </w:rPr>
        <w:t xml:space="preserve"> </w:t>
      </w:r>
      <w:r w:rsidR="0021505E" w:rsidRPr="00025F8B">
        <w:rPr>
          <w:rFonts w:ascii="Cambria" w:hAnsi="Cambria"/>
          <w:i/>
        </w:rPr>
        <w:t>W</w:t>
      </w:r>
      <w:r w:rsidRPr="00025F8B">
        <w:rPr>
          <w:rFonts w:ascii="Cambria" w:hAnsi="Cambria"/>
          <w:i/>
        </w:rPr>
        <w:t>ho</w:t>
      </w:r>
      <w:r w:rsidRPr="00025F8B">
        <w:rPr>
          <w:rFonts w:ascii="Cambria" w:hAnsi="Cambria"/>
        </w:rPr>
        <w:t xml:space="preserve"> has been the driving force</w:t>
      </w:r>
      <w:r w:rsidR="003E5CA4" w:rsidRPr="00025F8B">
        <w:rPr>
          <w:rFonts w:ascii="Cambria" w:hAnsi="Cambria"/>
        </w:rPr>
        <w:t xml:space="preserve"> (through cooption, coercion or, in the weakest sense, co-occurrence of efforts with another </w:t>
      </w:r>
      <w:r w:rsidR="009452E8" w:rsidRPr="00025F8B">
        <w:rPr>
          <w:rFonts w:ascii="Cambria" w:hAnsi="Cambria"/>
        </w:rPr>
        <w:t>set of actors</w:t>
      </w:r>
      <w:r w:rsidR="003E5CA4" w:rsidRPr="00025F8B">
        <w:rPr>
          <w:rFonts w:ascii="Cambria" w:hAnsi="Cambria"/>
        </w:rPr>
        <w:t>)</w:t>
      </w:r>
      <w:r w:rsidRPr="00025F8B">
        <w:rPr>
          <w:rFonts w:ascii="Cambria" w:hAnsi="Cambria"/>
        </w:rPr>
        <w:t xml:space="preserve"> behind </w:t>
      </w:r>
      <w:r w:rsidR="0021562D">
        <w:rPr>
          <w:rFonts w:ascii="Cambria" w:hAnsi="Cambria"/>
        </w:rPr>
        <w:t xml:space="preserve">developmental </w:t>
      </w:r>
      <w:r w:rsidRPr="00025F8B">
        <w:rPr>
          <w:rFonts w:ascii="Cambria" w:hAnsi="Cambria"/>
        </w:rPr>
        <w:t>institution- and coalition-building</w:t>
      </w:r>
      <w:r w:rsidR="0021562D">
        <w:rPr>
          <w:rFonts w:ascii="Cambria" w:hAnsi="Cambria"/>
        </w:rPr>
        <w:t xml:space="preserve"> in Poland since the GFC</w:t>
      </w:r>
      <w:r w:rsidR="003E5CA4" w:rsidRPr="00025F8B">
        <w:rPr>
          <w:rFonts w:ascii="Cambria" w:hAnsi="Cambria"/>
        </w:rPr>
        <w:t>?</w:t>
      </w:r>
    </w:p>
    <w:p w14:paraId="4D7F82D2" w14:textId="77777777" w:rsidR="002A1AD7" w:rsidRPr="00025F8B" w:rsidRDefault="002A1AD7" w:rsidP="00FB4709">
      <w:pPr>
        <w:jc w:val="both"/>
        <w:rPr>
          <w:rFonts w:ascii="Cambria" w:hAnsi="Cambria"/>
        </w:rPr>
      </w:pPr>
    </w:p>
    <w:p w14:paraId="75C2BA69" w14:textId="61E98676" w:rsidR="00F45F9F" w:rsidRPr="00025F8B" w:rsidRDefault="002A1AD7" w:rsidP="00FB4709">
      <w:pPr>
        <w:jc w:val="both"/>
        <w:rPr>
          <w:rFonts w:ascii="Cambria" w:hAnsi="Cambria"/>
        </w:rPr>
      </w:pPr>
      <w:r w:rsidRPr="00025F8B">
        <w:rPr>
          <w:rFonts w:ascii="Cambria" w:hAnsi="Cambria"/>
        </w:rPr>
        <w:t xml:space="preserve">Given this focus on the </w:t>
      </w:r>
      <w:r w:rsidRPr="00025F8B">
        <w:rPr>
          <w:rFonts w:ascii="Cambria" w:hAnsi="Cambria"/>
          <w:i/>
        </w:rPr>
        <w:t>who</w:t>
      </w:r>
      <w:r w:rsidRPr="00025F8B">
        <w:rPr>
          <w:rFonts w:ascii="Cambria" w:hAnsi="Cambria"/>
        </w:rPr>
        <w:t xml:space="preserve"> question, I suggest</w:t>
      </w:r>
      <w:r w:rsidR="0021505E" w:rsidRPr="00025F8B">
        <w:rPr>
          <w:rFonts w:ascii="Cambria" w:hAnsi="Cambria"/>
        </w:rPr>
        <w:t xml:space="preserve"> that</w:t>
      </w:r>
      <w:r w:rsidRPr="00025F8B">
        <w:rPr>
          <w:rFonts w:ascii="Cambria" w:hAnsi="Cambria"/>
        </w:rPr>
        <w:t xml:space="preserve"> it is possible to develop simple </w:t>
      </w:r>
      <w:r w:rsidRPr="00025F8B">
        <w:rPr>
          <w:rFonts w:ascii="Cambria" w:hAnsi="Cambria"/>
          <w:i/>
        </w:rPr>
        <w:t>universal</w:t>
      </w:r>
      <w:r w:rsidRPr="00025F8B">
        <w:rPr>
          <w:rFonts w:ascii="Cambria" w:hAnsi="Cambria"/>
        </w:rPr>
        <w:t xml:space="preserve"> hoop tests </w:t>
      </w:r>
      <w:r w:rsidR="00907E41" w:rsidRPr="00025F8B">
        <w:rPr>
          <w:rFonts w:ascii="Cambria" w:hAnsi="Cambria"/>
        </w:rPr>
        <w:t xml:space="preserve">– i.e. applicable to </w:t>
      </w:r>
      <w:r w:rsidR="00907E41" w:rsidRPr="00025F8B">
        <w:rPr>
          <w:rFonts w:ascii="Cambria" w:hAnsi="Cambria"/>
          <w:i/>
        </w:rPr>
        <w:t>all</w:t>
      </w:r>
      <w:r w:rsidR="00907E41" w:rsidRPr="00025F8B">
        <w:rPr>
          <w:rFonts w:ascii="Cambria" w:hAnsi="Cambria"/>
        </w:rPr>
        <w:t xml:space="preserve"> </w:t>
      </w:r>
      <w:r w:rsidR="00AD1C7C">
        <w:rPr>
          <w:rFonts w:ascii="Cambria" w:hAnsi="Cambria"/>
        </w:rPr>
        <w:t>individual explanations</w:t>
      </w:r>
      <w:r w:rsidR="00907E41" w:rsidRPr="00025F8B">
        <w:rPr>
          <w:rFonts w:ascii="Cambria" w:hAnsi="Cambria"/>
        </w:rPr>
        <w:t xml:space="preserve"> – whose failure can help </w:t>
      </w:r>
      <w:r w:rsidR="000E786C" w:rsidRPr="00025F8B">
        <w:rPr>
          <w:rFonts w:ascii="Cambria" w:hAnsi="Cambria"/>
        </w:rPr>
        <w:t xml:space="preserve">remove some hypotheses from further consideration. </w:t>
      </w:r>
      <w:r w:rsidR="0068070F" w:rsidRPr="00025F8B">
        <w:rPr>
          <w:rFonts w:ascii="Cambria" w:hAnsi="Cambria"/>
        </w:rPr>
        <w:t xml:space="preserve">In order to </w:t>
      </w:r>
      <w:r w:rsidR="007E6BAD" w:rsidRPr="00025F8B">
        <w:rPr>
          <w:rFonts w:ascii="Cambria" w:hAnsi="Cambria"/>
        </w:rPr>
        <w:t xml:space="preserve">develop such hoop tests, I rely on criminal law theory in </w:t>
      </w:r>
      <w:r w:rsidR="003C4155" w:rsidRPr="00025F8B">
        <w:rPr>
          <w:rFonts w:ascii="Cambria" w:hAnsi="Cambria"/>
        </w:rPr>
        <w:t xml:space="preserve">English-speaking </w:t>
      </w:r>
      <w:r w:rsidR="007E6BAD" w:rsidRPr="00025F8B">
        <w:rPr>
          <w:rFonts w:ascii="Cambria" w:hAnsi="Cambria"/>
        </w:rPr>
        <w:t xml:space="preserve">common law systems. </w:t>
      </w:r>
      <w:r w:rsidR="003D74D9" w:rsidRPr="00025F8B">
        <w:rPr>
          <w:rFonts w:ascii="Cambria" w:hAnsi="Cambria"/>
        </w:rPr>
        <w:t xml:space="preserve">The reason why I have delved into this kind of theory is that process-tracing methodologists typically </w:t>
      </w:r>
      <w:r w:rsidR="00A100CF" w:rsidRPr="00025F8B">
        <w:rPr>
          <w:rFonts w:ascii="Cambria" w:hAnsi="Cambria"/>
        </w:rPr>
        <w:t>invoke the metaphor of a criminal detective – especially that of fictional detective Sherlock Holmes –</w:t>
      </w:r>
      <w:r w:rsidR="00EB6A13" w:rsidRPr="00025F8B">
        <w:rPr>
          <w:rFonts w:ascii="Cambria" w:hAnsi="Cambria"/>
        </w:rPr>
        <w:t xml:space="preserve"> to illustrate the inferential logic of process tracing and process tracing tests</w:t>
      </w:r>
      <w:r w:rsidR="00915B21" w:rsidRPr="00025F8B">
        <w:rPr>
          <w:rFonts w:ascii="Cambria" w:hAnsi="Cambria"/>
        </w:rPr>
        <w:t xml:space="preserve"> – hence, for example, the metaphor of a “smoking gun” test</w:t>
      </w:r>
      <w:r w:rsidR="0041406E" w:rsidRPr="00025F8B">
        <w:rPr>
          <w:rFonts w:ascii="Cambria" w:hAnsi="Cambria"/>
        </w:rPr>
        <w:t xml:space="preserve"> that significantly increases confidence that a </w:t>
      </w:r>
      <w:r w:rsidR="00AD1C7C">
        <w:rPr>
          <w:rFonts w:ascii="Cambria" w:hAnsi="Cambria"/>
        </w:rPr>
        <w:t>“</w:t>
      </w:r>
      <w:r w:rsidR="0041406E" w:rsidRPr="00025F8B">
        <w:rPr>
          <w:rFonts w:ascii="Cambria" w:hAnsi="Cambria"/>
        </w:rPr>
        <w:t>suspect</w:t>
      </w:r>
      <w:r w:rsidR="00AD1C7C">
        <w:rPr>
          <w:rFonts w:ascii="Cambria" w:hAnsi="Cambria"/>
        </w:rPr>
        <w:t>”</w:t>
      </w:r>
      <w:r w:rsidR="0041406E" w:rsidRPr="00025F8B">
        <w:rPr>
          <w:rFonts w:ascii="Cambria" w:hAnsi="Cambria"/>
        </w:rPr>
        <w:t xml:space="preserve"> committed a “crime”</w:t>
      </w:r>
      <w:r w:rsidR="00A100CF" w:rsidRPr="00025F8B">
        <w:rPr>
          <w:rFonts w:ascii="Cambria" w:hAnsi="Cambria"/>
        </w:rPr>
        <w:t xml:space="preserve"> (e.g. Collier, 2011). </w:t>
      </w:r>
      <w:r w:rsidR="009A6BA1">
        <w:rPr>
          <w:rFonts w:ascii="Cambria" w:hAnsi="Cambria"/>
        </w:rPr>
        <w:t>Since political scientists’ – particularly process-tracers’ – theories focus</w:t>
      </w:r>
      <w:r w:rsidR="00B37773" w:rsidRPr="00025F8B">
        <w:rPr>
          <w:rFonts w:ascii="Cambria" w:hAnsi="Cambria"/>
        </w:rPr>
        <w:t xml:space="preserve"> on causal mechanisms, it is perhaps not surprising that the </w:t>
      </w:r>
      <w:r w:rsidR="0041406E" w:rsidRPr="00025F8B">
        <w:rPr>
          <w:rFonts w:ascii="Cambria" w:hAnsi="Cambria"/>
        </w:rPr>
        <w:t xml:space="preserve">typical </w:t>
      </w:r>
      <w:r w:rsidR="00B37773" w:rsidRPr="00025F8B">
        <w:rPr>
          <w:rFonts w:ascii="Cambria" w:hAnsi="Cambria"/>
        </w:rPr>
        <w:t xml:space="preserve">metaphor is that of Sherlock Holmes whom we often admire for his virtuosity in developing theories about potential explanations of the process </w:t>
      </w:r>
      <w:r w:rsidR="00537829" w:rsidRPr="00025F8B">
        <w:rPr>
          <w:rFonts w:ascii="Cambria" w:hAnsi="Cambria"/>
        </w:rPr>
        <w:t>leading to</w:t>
      </w:r>
      <w:r w:rsidR="00B37773" w:rsidRPr="00025F8B">
        <w:rPr>
          <w:rFonts w:ascii="Cambria" w:hAnsi="Cambria"/>
        </w:rPr>
        <w:t xml:space="preserve"> a crime </w:t>
      </w:r>
      <w:r w:rsidR="00537829" w:rsidRPr="00025F8B">
        <w:rPr>
          <w:rFonts w:ascii="Cambria" w:hAnsi="Cambria"/>
        </w:rPr>
        <w:t>being committed</w:t>
      </w:r>
      <w:r w:rsidR="00B37773" w:rsidRPr="00025F8B">
        <w:rPr>
          <w:rFonts w:ascii="Cambria" w:hAnsi="Cambria"/>
        </w:rPr>
        <w:t>. However, the task of most real-life detectives</w:t>
      </w:r>
      <w:r w:rsidR="00F45F9F" w:rsidRPr="00025F8B">
        <w:rPr>
          <w:rFonts w:ascii="Cambria" w:hAnsi="Cambria"/>
        </w:rPr>
        <w:t>, criminal prosecutors and criminal judges is to catch</w:t>
      </w:r>
      <w:r w:rsidR="009C6E0A">
        <w:rPr>
          <w:rFonts w:ascii="Cambria" w:hAnsi="Cambria"/>
        </w:rPr>
        <w:t xml:space="preserve"> </w:t>
      </w:r>
      <w:r w:rsidR="00F45F9F" w:rsidRPr="00025F8B">
        <w:rPr>
          <w:rFonts w:ascii="Cambria" w:hAnsi="Cambria"/>
          <w:i/>
        </w:rPr>
        <w:t>who</w:t>
      </w:r>
      <w:r w:rsidR="009C6E0A">
        <w:rPr>
          <w:rFonts w:ascii="Cambria" w:hAnsi="Cambria"/>
          <w:i/>
        </w:rPr>
        <w:t>m</w:t>
      </w:r>
      <w:r w:rsidR="00F45F9F" w:rsidRPr="00025F8B">
        <w:rPr>
          <w:rFonts w:ascii="Cambria" w:hAnsi="Cambria"/>
          <w:i/>
        </w:rPr>
        <w:t>ever</w:t>
      </w:r>
      <w:r w:rsidR="009C6E0A">
        <w:rPr>
          <w:rStyle w:val="FootnoteReference"/>
          <w:rFonts w:ascii="Cambria" w:hAnsi="Cambria"/>
          <w:i/>
        </w:rPr>
        <w:footnoteReference w:id="7"/>
      </w:r>
      <w:r w:rsidR="00F45F9F" w:rsidRPr="00025F8B">
        <w:rPr>
          <w:rFonts w:ascii="Cambria" w:hAnsi="Cambria"/>
        </w:rPr>
        <w:t xml:space="preserve"> committed a crime</w:t>
      </w:r>
      <w:r w:rsidR="00C64A41" w:rsidRPr="00025F8B">
        <w:rPr>
          <w:rFonts w:ascii="Cambria" w:hAnsi="Cambria"/>
        </w:rPr>
        <w:t xml:space="preserve"> regardless of the virtuosity of their </w:t>
      </w:r>
      <w:r w:rsidR="0021505E" w:rsidRPr="00025F8B">
        <w:rPr>
          <w:rFonts w:ascii="Cambria" w:hAnsi="Cambria"/>
        </w:rPr>
        <w:t>conjectures</w:t>
      </w:r>
      <w:r w:rsidR="009A6BA1">
        <w:rPr>
          <w:rFonts w:ascii="Cambria" w:hAnsi="Cambria"/>
        </w:rPr>
        <w:t xml:space="preserve"> and regardless of the mechanism that led to the crime being committed</w:t>
      </w:r>
      <w:r w:rsidR="00F45F9F" w:rsidRPr="00025F8B">
        <w:rPr>
          <w:rFonts w:ascii="Cambria" w:hAnsi="Cambria"/>
        </w:rPr>
        <w:t xml:space="preserve">. </w:t>
      </w:r>
    </w:p>
    <w:p w14:paraId="24840211" w14:textId="77777777" w:rsidR="00C767BA" w:rsidRPr="00025F8B" w:rsidRDefault="00C767BA" w:rsidP="00FB4709">
      <w:pPr>
        <w:jc w:val="both"/>
        <w:rPr>
          <w:rFonts w:ascii="Cambria" w:hAnsi="Cambria"/>
        </w:rPr>
      </w:pPr>
    </w:p>
    <w:p w14:paraId="774FF933" w14:textId="52CA575E" w:rsidR="00C767BA" w:rsidRPr="00025F8B" w:rsidRDefault="0020169B" w:rsidP="00FB4709">
      <w:pPr>
        <w:jc w:val="both"/>
        <w:rPr>
          <w:rFonts w:ascii="Cambria" w:hAnsi="Cambria"/>
        </w:rPr>
      </w:pPr>
      <w:r w:rsidRPr="00025F8B">
        <w:rPr>
          <w:rFonts w:ascii="Cambria" w:hAnsi="Cambria"/>
        </w:rPr>
        <w:t xml:space="preserve">How can criminal liability be attributed? </w:t>
      </w:r>
      <w:r w:rsidR="004D2844" w:rsidRPr="00025F8B">
        <w:rPr>
          <w:rFonts w:ascii="Cambria" w:hAnsi="Cambria"/>
        </w:rPr>
        <w:t>On what legal basis can a suspect be pro</w:t>
      </w:r>
      <w:r w:rsidR="00C64A41" w:rsidRPr="00025F8B">
        <w:rPr>
          <w:rFonts w:ascii="Cambria" w:hAnsi="Cambria"/>
        </w:rPr>
        <w:t xml:space="preserve">secuted or </w:t>
      </w:r>
      <w:r w:rsidR="003C383F">
        <w:rPr>
          <w:rFonts w:ascii="Cambria" w:hAnsi="Cambria"/>
        </w:rPr>
        <w:t>convi</w:t>
      </w:r>
      <w:r w:rsidR="00D4036E">
        <w:rPr>
          <w:rFonts w:ascii="Cambria" w:hAnsi="Cambria"/>
        </w:rPr>
        <w:t>cted</w:t>
      </w:r>
      <w:r w:rsidR="00C64A41" w:rsidRPr="00025F8B">
        <w:rPr>
          <w:rFonts w:ascii="Cambria" w:hAnsi="Cambria"/>
        </w:rPr>
        <w:t xml:space="preserve"> for a criminal offence</w:t>
      </w:r>
      <w:r w:rsidR="004D2844" w:rsidRPr="00025F8B">
        <w:rPr>
          <w:rFonts w:ascii="Cambria" w:hAnsi="Cambria"/>
        </w:rPr>
        <w:t xml:space="preserve">? </w:t>
      </w:r>
      <w:r w:rsidR="009465D4" w:rsidRPr="00025F8B">
        <w:rPr>
          <w:rFonts w:ascii="Cambria" w:hAnsi="Cambria"/>
        </w:rPr>
        <w:t>In Common Law countries</w:t>
      </w:r>
      <w:r w:rsidR="00D75D3A" w:rsidRPr="00025F8B">
        <w:rPr>
          <w:rFonts w:ascii="Cambria" w:hAnsi="Cambria"/>
        </w:rPr>
        <w:t xml:space="preserve"> (in fact, in most legal systems </w:t>
      </w:r>
      <w:r w:rsidR="00E22D09" w:rsidRPr="00025F8B">
        <w:rPr>
          <w:rFonts w:ascii="Cambria" w:hAnsi="Cambria"/>
        </w:rPr>
        <w:t>–</w:t>
      </w:r>
      <w:r w:rsidR="00C64A41" w:rsidRPr="00025F8B">
        <w:rPr>
          <w:rFonts w:ascii="Cambria" w:hAnsi="Cambria"/>
        </w:rPr>
        <w:t xml:space="preserve"> see</w:t>
      </w:r>
      <w:r w:rsidR="00D75D3A" w:rsidRPr="00025F8B">
        <w:rPr>
          <w:rFonts w:ascii="Cambria" w:hAnsi="Cambria"/>
        </w:rPr>
        <w:t xml:space="preserve"> </w:t>
      </w:r>
      <w:r w:rsidR="00DC5E94" w:rsidRPr="00025F8B">
        <w:rPr>
          <w:rFonts w:ascii="Cambria" w:hAnsi="Cambria"/>
        </w:rPr>
        <w:t xml:space="preserve">Chiao, 2014; </w:t>
      </w:r>
      <w:r w:rsidR="00E22D09" w:rsidRPr="00025F8B">
        <w:rPr>
          <w:rFonts w:ascii="Cambria" w:hAnsi="Cambria"/>
        </w:rPr>
        <w:t>Chiesa, 2014</w:t>
      </w:r>
      <w:r w:rsidR="00F51F25" w:rsidRPr="00025F8B">
        <w:rPr>
          <w:rFonts w:ascii="Cambria" w:hAnsi="Cambria"/>
        </w:rPr>
        <w:t>; Weigend, 2014</w:t>
      </w:r>
      <w:r w:rsidR="00D75D3A" w:rsidRPr="00025F8B">
        <w:rPr>
          <w:rFonts w:ascii="Cambria" w:hAnsi="Cambria"/>
        </w:rPr>
        <w:t>)</w:t>
      </w:r>
      <w:r w:rsidR="009465D4" w:rsidRPr="00025F8B">
        <w:rPr>
          <w:rFonts w:ascii="Cambria" w:hAnsi="Cambria"/>
        </w:rPr>
        <w:t xml:space="preserve">, </w:t>
      </w:r>
      <w:r w:rsidR="00D75D3A" w:rsidRPr="00025F8B">
        <w:rPr>
          <w:rFonts w:ascii="Cambria" w:hAnsi="Cambria"/>
        </w:rPr>
        <w:t>there</w:t>
      </w:r>
      <w:r w:rsidR="00C64A41" w:rsidRPr="00025F8B">
        <w:rPr>
          <w:rFonts w:ascii="Cambria" w:hAnsi="Cambria"/>
        </w:rPr>
        <w:t xml:space="preserve"> are</w:t>
      </w:r>
      <w:r w:rsidR="00D75D3A" w:rsidRPr="00025F8B">
        <w:rPr>
          <w:rFonts w:ascii="Cambria" w:hAnsi="Cambria"/>
        </w:rPr>
        <w:t xml:space="preserve"> two </w:t>
      </w:r>
      <w:r w:rsidR="00C64A41" w:rsidRPr="00025F8B">
        <w:rPr>
          <w:rFonts w:ascii="Cambria" w:hAnsi="Cambria"/>
        </w:rPr>
        <w:t xml:space="preserve">“essential” – or, in other words, </w:t>
      </w:r>
      <w:r w:rsidR="00D75D3A" w:rsidRPr="00025F8B">
        <w:rPr>
          <w:rFonts w:ascii="Cambria" w:hAnsi="Cambria"/>
          <w:i/>
        </w:rPr>
        <w:t>necessary</w:t>
      </w:r>
      <w:r w:rsidR="00D75D3A" w:rsidRPr="00025F8B">
        <w:rPr>
          <w:rFonts w:ascii="Cambria" w:hAnsi="Cambria"/>
        </w:rPr>
        <w:t xml:space="preserve"> </w:t>
      </w:r>
      <w:r w:rsidR="00C64A41" w:rsidRPr="00025F8B">
        <w:rPr>
          <w:rFonts w:ascii="Cambria" w:hAnsi="Cambria"/>
        </w:rPr>
        <w:t>– ingredients of every offence unless otherwise specified</w:t>
      </w:r>
      <w:r w:rsidR="002F4899">
        <w:rPr>
          <w:rFonts w:ascii="Cambria" w:hAnsi="Cambria"/>
        </w:rPr>
        <w:t xml:space="preserve"> (</w:t>
      </w:r>
      <w:r w:rsidR="002F4899" w:rsidRPr="00025F8B">
        <w:rPr>
          <w:rFonts w:ascii="Cambria" w:hAnsi="Cambria"/>
        </w:rPr>
        <w:t>e.g. Horder, 2019: chapters 5 and 6).</w:t>
      </w:r>
      <w:r w:rsidR="00C64A41" w:rsidRPr="00025F8B">
        <w:rPr>
          <w:rFonts w:ascii="Cambria" w:hAnsi="Cambria"/>
        </w:rPr>
        <w:t xml:space="preserve"> Firstly, there must be a criminal act – or the “objective” element of a crime – expressed in Latin as the </w:t>
      </w:r>
      <w:r w:rsidR="00C64A41" w:rsidRPr="00025F8B">
        <w:rPr>
          <w:rFonts w:ascii="Cambria" w:hAnsi="Cambria"/>
          <w:i/>
        </w:rPr>
        <w:t>actus reus</w:t>
      </w:r>
      <w:r w:rsidR="00FB7448">
        <w:rPr>
          <w:rFonts w:ascii="Cambria" w:hAnsi="Cambria"/>
        </w:rPr>
        <w:t xml:space="preserve"> (</w:t>
      </w:r>
      <w:r w:rsidR="00C64A41" w:rsidRPr="00025F8B">
        <w:rPr>
          <w:rFonts w:ascii="Cambria" w:hAnsi="Cambria"/>
        </w:rPr>
        <w:t>the “guilty act”). Secondly, there must be a criminal intention</w:t>
      </w:r>
      <w:r w:rsidR="008903BD" w:rsidRPr="00025F8B">
        <w:rPr>
          <w:rFonts w:ascii="Cambria" w:hAnsi="Cambria"/>
        </w:rPr>
        <w:t xml:space="preserve"> – or the “mental” element of a crime – expressed in Latin as the </w:t>
      </w:r>
      <w:r w:rsidR="008903BD" w:rsidRPr="00025F8B">
        <w:rPr>
          <w:rFonts w:ascii="Cambria" w:hAnsi="Cambria"/>
          <w:i/>
        </w:rPr>
        <w:t>mens rea</w:t>
      </w:r>
      <w:r w:rsidR="008903BD" w:rsidRPr="00025F8B">
        <w:rPr>
          <w:rFonts w:ascii="Cambria" w:hAnsi="Cambria"/>
        </w:rPr>
        <w:t xml:space="preserve"> (the “guilty mind”)</w:t>
      </w:r>
      <w:r w:rsidR="002F4899">
        <w:rPr>
          <w:rFonts w:ascii="Cambria" w:hAnsi="Cambria"/>
        </w:rPr>
        <w:t xml:space="preserve">. </w:t>
      </w:r>
      <w:r w:rsidR="008903BD" w:rsidRPr="00025F8B">
        <w:rPr>
          <w:rFonts w:ascii="Cambria" w:hAnsi="Cambria"/>
        </w:rPr>
        <w:t xml:space="preserve">In order to attribute criminal liability </w:t>
      </w:r>
      <w:r w:rsidR="00D4036E">
        <w:rPr>
          <w:rFonts w:ascii="Cambria" w:hAnsi="Cambria"/>
        </w:rPr>
        <w:t>to a suspect and to be able to convict</w:t>
      </w:r>
      <w:r w:rsidR="008903BD" w:rsidRPr="00025F8B">
        <w:rPr>
          <w:rFonts w:ascii="Cambria" w:hAnsi="Cambria"/>
        </w:rPr>
        <w:t xml:space="preserve"> them, a criminal court needs to prove these two elements “beyond reasonable doubt”. </w:t>
      </w:r>
    </w:p>
    <w:p w14:paraId="2D106DDE" w14:textId="77777777" w:rsidR="00C75464" w:rsidRPr="00025F8B" w:rsidRDefault="00C75464" w:rsidP="00C745F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80"/>
        <w:gridCol w:w="5096"/>
        <w:gridCol w:w="1880"/>
      </w:tblGrid>
      <w:tr w:rsidR="008B6765" w:rsidRPr="00025F8B" w14:paraId="0A3CA108" w14:textId="77777777" w:rsidTr="008B6765">
        <w:tc>
          <w:tcPr>
            <w:tcW w:w="2952" w:type="dxa"/>
          </w:tcPr>
          <w:p w14:paraId="71E88117" w14:textId="77777777" w:rsidR="008B6765" w:rsidRPr="00025F8B" w:rsidRDefault="008B6765" w:rsidP="00C745FA">
            <w:pPr>
              <w:rPr>
                <w:rFonts w:ascii="Cambria" w:hAnsi="Cambria"/>
              </w:rPr>
            </w:pPr>
          </w:p>
        </w:tc>
        <w:tc>
          <w:tcPr>
            <w:tcW w:w="2952" w:type="dxa"/>
          </w:tcPr>
          <w:p w14:paraId="7FAD4344" w14:textId="14020D79" w:rsidR="008B6765" w:rsidRPr="00025F8B" w:rsidRDefault="008B6765" w:rsidP="00C745FA">
            <w:pPr>
              <w:rPr>
                <w:rFonts w:ascii="Cambria" w:hAnsi="Cambria"/>
              </w:rPr>
            </w:pPr>
            <w:r w:rsidRPr="00025F8B">
              <w:rPr>
                <w:rFonts w:ascii="Cambria" w:hAnsi="Cambria"/>
                <w:noProof/>
              </w:rPr>
              <w:drawing>
                <wp:inline distT="0" distB="0" distL="0" distR="0" wp14:anchorId="61D7EB4E" wp14:editId="744F5390">
                  <wp:extent cx="3098800" cy="140854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8800" cy="1408545"/>
                          </a:xfrm>
                          <a:prstGeom prst="rect">
                            <a:avLst/>
                          </a:prstGeom>
                          <a:noFill/>
                          <a:ln>
                            <a:noFill/>
                          </a:ln>
                        </pic:spPr>
                      </pic:pic>
                    </a:graphicData>
                  </a:graphic>
                </wp:inline>
              </w:drawing>
            </w:r>
          </w:p>
        </w:tc>
        <w:tc>
          <w:tcPr>
            <w:tcW w:w="2952" w:type="dxa"/>
          </w:tcPr>
          <w:p w14:paraId="34FA87E8" w14:textId="77777777" w:rsidR="008B6765" w:rsidRPr="00025F8B" w:rsidRDefault="008B6765" w:rsidP="00C745FA">
            <w:pPr>
              <w:rPr>
                <w:rFonts w:ascii="Cambria" w:hAnsi="Cambria"/>
              </w:rPr>
            </w:pPr>
          </w:p>
        </w:tc>
      </w:tr>
    </w:tbl>
    <w:p w14:paraId="7AAD33D5" w14:textId="77777777" w:rsidR="00645122" w:rsidRPr="00025F8B" w:rsidRDefault="00645122" w:rsidP="00C745FA">
      <w:pPr>
        <w:rPr>
          <w:rFonts w:ascii="Cambria" w:hAnsi="Cambria"/>
        </w:rPr>
      </w:pPr>
    </w:p>
    <w:p w14:paraId="721555D2" w14:textId="606AA167" w:rsidR="000C56E8" w:rsidRPr="00025F8B" w:rsidRDefault="00C75464" w:rsidP="00FB4709">
      <w:pPr>
        <w:jc w:val="both"/>
        <w:rPr>
          <w:rFonts w:ascii="Cambria" w:hAnsi="Cambria"/>
        </w:rPr>
      </w:pPr>
      <w:r w:rsidRPr="00025F8B">
        <w:rPr>
          <w:rFonts w:ascii="Cambria" w:hAnsi="Cambria"/>
        </w:rPr>
        <w:t>The</w:t>
      </w:r>
      <w:r w:rsidR="002D4513" w:rsidRPr="00025F8B">
        <w:rPr>
          <w:rFonts w:ascii="Cambria" w:hAnsi="Cambria"/>
        </w:rPr>
        <w:t>se</w:t>
      </w:r>
      <w:r w:rsidRPr="00025F8B">
        <w:rPr>
          <w:rFonts w:ascii="Cambria" w:hAnsi="Cambria"/>
        </w:rPr>
        <w:t xml:space="preserve"> principles of criminal jurisprudence can be e</w:t>
      </w:r>
      <w:r w:rsidR="001273D7">
        <w:rPr>
          <w:rFonts w:ascii="Cambria" w:hAnsi="Cambria"/>
        </w:rPr>
        <w:t xml:space="preserve">asily translated to create hoop </w:t>
      </w:r>
      <w:r w:rsidRPr="00025F8B">
        <w:rPr>
          <w:rFonts w:ascii="Cambria" w:hAnsi="Cambria"/>
        </w:rPr>
        <w:t xml:space="preserve">tests that are relevant for the analysis of politics. If we want to know whether an actor (a “suspect”) has </w:t>
      </w:r>
      <w:r w:rsidR="00FB7448">
        <w:rPr>
          <w:rFonts w:ascii="Cambria" w:hAnsi="Cambria"/>
        </w:rPr>
        <w:t xml:space="preserve">actually </w:t>
      </w:r>
      <w:r w:rsidRPr="00025F8B">
        <w:rPr>
          <w:rFonts w:ascii="Cambria" w:hAnsi="Cambria"/>
        </w:rPr>
        <w:t xml:space="preserve">been involved in coalition- or institution-building (the “criminal offence”), we need to know whether they have </w:t>
      </w:r>
      <w:r w:rsidRPr="00025F8B">
        <w:rPr>
          <w:rFonts w:ascii="Cambria" w:hAnsi="Cambria"/>
          <w:i/>
        </w:rPr>
        <w:t>actively</w:t>
      </w:r>
      <w:r w:rsidRPr="00025F8B">
        <w:rPr>
          <w:rFonts w:ascii="Cambria" w:hAnsi="Cambria"/>
        </w:rPr>
        <w:t xml:space="preserve"> </w:t>
      </w:r>
      <w:r w:rsidRPr="00025F8B">
        <w:rPr>
          <w:rFonts w:ascii="Cambria" w:hAnsi="Cambria"/>
          <w:i/>
        </w:rPr>
        <w:t>participated</w:t>
      </w:r>
      <w:r w:rsidR="00FB7448">
        <w:rPr>
          <w:rFonts w:ascii="Cambria" w:hAnsi="Cambria"/>
        </w:rPr>
        <w:t xml:space="preserve"> in this type of activity</w:t>
      </w:r>
      <w:r w:rsidRPr="00025F8B">
        <w:rPr>
          <w:rFonts w:ascii="Cambria" w:hAnsi="Cambria"/>
        </w:rPr>
        <w:t xml:space="preserve"> (the </w:t>
      </w:r>
      <w:r w:rsidR="00645122" w:rsidRPr="00025F8B">
        <w:rPr>
          <w:rFonts w:ascii="Cambria" w:hAnsi="Cambria"/>
        </w:rPr>
        <w:t>“</w:t>
      </w:r>
      <w:r w:rsidRPr="00025F8B">
        <w:rPr>
          <w:rFonts w:ascii="Cambria" w:hAnsi="Cambria"/>
        </w:rPr>
        <w:t>guilty act</w:t>
      </w:r>
      <w:r w:rsidR="00645122" w:rsidRPr="00025F8B">
        <w:rPr>
          <w:rFonts w:ascii="Cambria" w:hAnsi="Cambria"/>
        </w:rPr>
        <w:t>”</w:t>
      </w:r>
      <w:r w:rsidRPr="00025F8B">
        <w:rPr>
          <w:rFonts w:ascii="Cambria" w:hAnsi="Cambria"/>
        </w:rPr>
        <w:t xml:space="preserve">) and whether they have </w:t>
      </w:r>
      <w:r w:rsidRPr="00025F8B">
        <w:rPr>
          <w:rFonts w:ascii="Cambria" w:hAnsi="Cambria"/>
          <w:i/>
        </w:rPr>
        <w:t>wanted</w:t>
      </w:r>
      <w:r w:rsidRPr="00025F8B">
        <w:rPr>
          <w:rFonts w:ascii="Cambria" w:hAnsi="Cambria"/>
        </w:rPr>
        <w:t xml:space="preserve"> to engage in </w:t>
      </w:r>
      <w:r w:rsidR="00FB7448">
        <w:rPr>
          <w:rFonts w:ascii="Cambria" w:hAnsi="Cambria"/>
        </w:rPr>
        <w:t>it</w:t>
      </w:r>
      <w:r w:rsidRPr="00025F8B">
        <w:rPr>
          <w:rFonts w:ascii="Cambria" w:hAnsi="Cambria"/>
        </w:rPr>
        <w:t xml:space="preserve"> </w:t>
      </w:r>
      <w:r w:rsidR="002D4513" w:rsidRPr="00025F8B">
        <w:rPr>
          <w:rFonts w:ascii="Cambria" w:hAnsi="Cambria"/>
        </w:rPr>
        <w:t>(</w:t>
      </w:r>
      <w:r w:rsidR="00E73E4F" w:rsidRPr="00025F8B">
        <w:rPr>
          <w:rFonts w:ascii="Cambria" w:hAnsi="Cambria"/>
        </w:rPr>
        <w:t xml:space="preserve">the </w:t>
      </w:r>
      <w:r w:rsidR="00645122" w:rsidRPr="00025F8B">
        <w:rPr>
          <w:rFonts w:ascii="Cambria" w:hAnsi="Cambria"/>
        </w:rPr>
        <w:t>“</w:t>
      </w:r>
      <w:r w:rsidR="00E73E4F" w:rsidRPr="00025F8B">
        <w:rPr>
          <w:rFonts w:ascii="Cambria" w:hAnsi="Cambria"/>
        </w:rPr>
        <w:t>guilty mind</w:t>
      </w:r>
      <w:r w:rsidR="00645122" w:rsidRPr="00025F8B">
        <w:rPr>
          <w:rFonts w:ascii="Cambria" w:hAnsi="Cambria"/>
        </w:rPr>
        <w:t>”</w:t>
      </w:r>
      <w:r w:rsidR="00E73E4F" w:rsidRPr="00025F8B">
        <w:rPr>
          <w:rFonts w:ascii="Cambria" w:hAnsi="Cambria"/>
        </w:rPr>
        <w:t>).</w:t>
      </w:r>
      <w:r w:rsidR="0042404A" w:rsidRPr="00025F8B">
        <w:rPr>
          <w:rFonts w:ascii="Cambria" w:hAnsi="Cambria"/>
        </w:rPr>
        <w:t xml:space="preserve"> In politics, a guilty mind can simply be measured by </w:t>
      </w:r>
      <w:r w:rsidR="00AB71DE" w:rsidRPr="00025F8B">
        <w:rPr>
          <w:rFonts w:ascii="Cambria" w:hAnsi="Cambria"/>
        </w:rPr>
        <w:t xml:space="preserve">the expression of a preference in favor of some institutional change </w:t>
      </w:r>
      <w:r w:rsidR="00C87B3D" w:rsidRPr="00025F8B">
        <w:rPr>
          <w:rFonts w:ascii="Cambria" w:hAnsi="Cambria"/>
        </w:rPr>
        <w:t>when or before that change ta</w:t>
      </w:r>
      <w:r w:rsidR="00AB71DE" w:rsidRPr="00025F8B">
        <w:rPr>
          <w:rFonts w:ascii="Cambria" w:hAnsi="Cambria"/>
        </w:rPr>
        <w:t>k</w:t>
      </w:r>
      <w:r w:rsidR="00C87B3D" w:rsidRPr="00025F8B">
        <w:rPr>
          <w:rFonts w:ascii="Cambria" w:hAnsi="Cambria"/>
        </w:rPr>
        <w:t>es</w:t>
      </w:r>
      <w:r w:rsidR="00AB71DE" w:rsidRPr="00025F8B">
        <w:rPr>
          <w:rFonts w:ascii="Cambria" w:hAnsi="Cambria"/>
        </w:rPr>
        <w:t xml:space="preserve"> place. A guilty act can be measured by </w:t>
      </w:r>
      <w:r w:rsidR="00AB71DE" w:rsidRPr="00025F8B">
        <w:rPr>
          <w:rFonts w:ascii="Cambria" w:hAnsi="Cambria"/>
          <w:i/>
        </w:rPr>
        <w:t>any</w:t>
      </w:r>
      <w:r w:rsidR="00AB71DE" w:rsidRPr="00025F8B">
        <w:rPr>
          <w:rFonts w:ascii="Cambria" w:hAnsi="Cambria"/>
        </w:rPr>
        <w:t xml:space="preserve"> type of </w:t>
      </w:r>
      <w:r w:rsidR="00DD07C3" w:rsidRPr="00025F8B">
        <w:rPr>
          <w:rFonts w:ascii="Cambria" w:hAnsi="Cambria"/>
        </w:rPr>
        <w:t xml:space="preserve">political </w:t>
      </w:r>
      <w:r w:rsidR="00AB71DE" w:rsidRPr="00025F8B">
        <w:rPr>
          <w:rFonts w:ascii="Cambria" w:hAnsi="Cambria"/>
        </w:rPr>
        <w:t>activity (voting, lobbying, publicly advocating, etc.) in favor of some institutional chang</w:t>
      </w:r>
      <w:r w:rsidR="00DD07C3" w:rsidRPr="00025F8B">
        <w:rPr>
          <w:rFonts w:ascii="Cambria" w:hAnsi="Cambria"/>
        </w:rPr>
        <w:t>e</w:t>
      </w:r>
      <w:r w:rsidR="00C87B3D" w:rsidRPr="00025F8B">
        <w:rPr>
          <w:rFonts w:ascii="Cambria" w:hAnsi="Cambria"/>
        </w:rPr>
        <w:t xml:space="preserve"> when or before that change ta</w:t>
      </w:r>
      <w:r w:rsidR="00DD07C3" w:rsidRPr="00025F8B">
        <w:rPr>
          <w:rFonts w:ascii="Cambria" w:hAnsi="Cambria"/>
        </w:rPr>
        <w:t>k</w:t>
      </w:r>
      <w:r w:rsidR="00C87B3D" w:rsidRPr="00025F8B">
        <w:rPr>
          <w:rFonts w:ascii="Cambria" w:hAnsi="Cambria"/>
        </w:rPr>
        <w:t>es</w:t>
      </w:r>
      <w:r w:rsidR="00DD07C3" w:rsidRPr="00025F8B">
        <w:rPr>
          <w:rFonts w:ascii="Cambria" w:hAnsi="Cambria"/>
        </w:rPr>
        <w:t xml:space="preserve"> place. Although all of this may seem obvious,</w:t>
      </w:r>
      <w:r w:rsidR="00E73E4F" w:rsidRPr="00025F8B">
        <w:rPr>
          <w:rFonts w:ascii="Cambria" w:hAnsi="Cambria"/>
        </w:rPr>
        <w:t xml:space="preserve"> </w:t>
      </w:r>
      <w:r w:rsidR="00164D9A" w:rsidRPr="00025F8B">
        <w:rPr>
          <w:rFonts w:ascii="Cambria" w:hAnsi="Cambria"/>
        </w:rPr>
        <w:t xml:space="preserve">having these kinds of hoop tests is useful in this paper given that one of my main goals is to know </w:t>
      </w:r>
      <w:r w:rsidR="00164D9A" w:rsidRPr="00025F8B">
        <w:rPr>
          <w:rFonts w:ascii="Cambria" w:hAnsi="Cambria"/>
          <w:i/>
        </w:rPr>
        <w:t xml:space="preserve">who </w:t>
      </w:r>
      <w:r w:rsidR="00164D9A" w:rsidRPr="00025F8B">
        <w:rPr>
          <w:rFonts w:ascii="Cambria" w:hAnsi="Cambria"/>
        </w:rPr>
        <w:t xml:space="preserve">has mobilized </w:t>
      </w:r>
      <w:r w:rsidR="00164D9A" w:rsidRPr="00025F8B">
        <w:rPr>
          <w:rFonts w:ascii="Cambria" w:hAnsi="Cambria"/>
          <w:i/>
        </w:rPr>
        <w:t xml:space="preserve">whom </w:t>
      </w:r>
      <w:r w:rsidR="00164D9A" w:rsidRPr="00025F8B">
        <w:rPr>
          <w:rFonts w:ascii="Cambria" w:hAnsi="Cambria"/>
        </w:rPr>
        <w:t xml:space="preserve">to “commit the crime” of reviving developmentalism: If there is no evidence that some actor </w:t>
      </w:r>
      <w:r w:rsidR="00164D9A" w:rsidRPr="00FB7448">
        <w:rPr>
          <w:rFonts w:ascii="Cambria" w:hAnsi="Cambria"/>
          <w:i/>
        </w:rPr>
        <w:t>wanted</w:t>
      </w:r>
      <w:r w:rsidR="00164D9A" w:rsidRPr="00025F8B">
        <w:rPr>
          <w:rFonts w:ascii="Cambria" w:hAnsi="Cambria"/>
        </w:rPr>
        <w:t xml:space="preserve"> to revive developmentalism or that, one way or another, they </w:t>
      </w:r>
      <w:r w:rsidR="00C87B3D" w:rsidRPr="00FB7448">
        <w:rPr>
          <w:rFonts w:ascii="Cambria" w:hAnsi="Cambria"/>
          <w:i/>
        </w:rPr>
        <w:t>tried to promote</w:t>
      </w:r>
      <w:r w:rsidR="00C87B3D" w:rsidRPr="00025F8B">
        <w:rPr>
          <w:rFonts w:ascii="Cambria" w:hAnsi="Cambria"/>
        </w:rPr>
        <w:t xml:space="preserve"> that</w:t>
      </w:r>
      <w:r w:rsidR="00164D9A" w:rsidRPr="00025F8B">
        <w:rPr>
          <w:rFonts w:ascii="Cambria" w:hAnsi="Cambria"/>
        </w:rPr>
        <w:t xml:space="preserve"> revival, that actor should be eliminated as a “suspect” for </w:t>
      </w:r>
      <w:r w:rsidR="00C87B3D" w:rsidRPr="00025F8B">
        <w:rPr>
          <w:rFonts w:ascii="Cambria" w:hAnsi="Cambria"/>
        </w:rPr>
        <w:t>initiating coalition- and institution-building</w:t>
      </w:r>
      <w:r w:rsidR="00164D9A" w:rsidRPr="00025F8B">
        <w:rPr>
          <w:rFonts w:ascii="Cambria" w:hAnsi="Cambria"/>
        </w:rPr>
        <w:t xml:space="preserve">. </w:t>
      </w:r>
      <w:r w:rsidR="003D2CE9" w:rsidRPr="00025F8B">
        <w:rPr>
          <w:rFonts w:ascii="Cambria" w:hAnsi="Cambria"/>
        </w:rPr>
        <w:t>As mentioned earlier, an advantage of the “guilty mind” and the “guilty act”</w:t>
      </w:r>
      <w:r w:rsidR="000C56E8" w:rsidRPr="00025F8B">
        <w:rPr>
          <w:rFonts w:ascii="Cambria" w:hAnsi="Cambria"/>
        </w:rPr>
        <w:t xml:space="preserve"> hoop tests is that they are </w:t>
      </w:r>
      <w:r w:rsidR="000C56E8" w:rsidRPr="00025F8B">
        <w:rPr>
          <w:rFonts w:ascii="Cambria" w:hAnsi="Cambria"/>
          <w:i/>
        </w:rPr>
        <w:t>universal</w:t>
      </w:r>
      <w:r w:rsidR="000C56E8" w:rsidRPr="00025F8B">
        <w:rPr>
          <w:rFonts w:ascii="Cambria" w:hAnsi="Cambria"/>
        </w:rPr>
        <w:t xml:space="preserve"> tests that are applicable in a uniform way to all suspects (in this case, actors – not causal mechanisms)</w:t>
      </w:r>
      <w:r w:rsidR="003644C2">
        <w:rPr>
          <w:rFonts w:ascii="Cambria" w:hAnsi="Cambria"/>
        </w:rPr>
        <w:t>. The explicit definition of such hoop tests makes</w:t>
      </w:r>
      <w:r w:rsidR="00022FFD">
        <w:rPr>
          <w:rFonts w:ascii="Cambria" w:hAnsi="Cambria"/>
        </w:rPr>
        <w:t xml:space="preserve"> it possible to</w:t>
      </w:r>
      <w:r w:rsidR="00CB41D9">
        <w:rPr>
          <w:rFonts w:ascii="Cambria" w:hAnsi="Cambria"/>
        </w:rPr>
        <w:t xml:space="preserve"> directly compare one’s degree of suspicion that different actors are involved in the </w:t>
      </w:r>
      <w:r w:rsidR="003644C2">
        <w:rPr>
          <w:rFonts w:ascii="Cambria" w:hAnsi="Cambria"/>
        </w:rPr>
        <w:t>“</w:t>
      </w:r>
      <w:r w:rsidR="00CB41D9">
        <w:rPr>
          <w:rFonts w:ascii="Cambria" w:hAnsi="Cambria"/>
        </w:rPr>
        <w:t>crime</w:t>
      </w:r>
      <w:r w:rsidR="003644C2">
        <w:rPr>
          <w:rFonts w:ascii="Cambria" w:hAnsi="Cambria"/>
        </w:rPr>
        <w:t>”</w:t>
      </w:r>
      <w:r w:rsidR="000C56E8" w:rsidRPr="00025F8B">
        <w:rPr>
          <w:rFonts w:ascii="Cambria" w:hAnsi="Cambria"/>
        </w:rPr>
        <w:t>.</w:t>
      </w:r>
      <w:r w:rsidR="00CB41D9">
        <w:rPr>
          <w:rFonts w:ascii="Cambria" w:hAnsi="Cambria"/>
        </w:rPr>
        <w:t xml:space="preserve"> </w:t>
      </w:r>
      <w:r w:rsidR="003644C2">
        <w:rPr>
          <w:rFonts w:ascii="Cambria" w:hAnsi="Cambria"/>
        </w:rPr>
        <w:t>In appendices A.6.-A.8., I explicitly state how various CPOs (documents and interview material) presented in those</w:t>
      </w:r>
      <w:r w:rsidR="00F86AD9">
        <w:rPr>
          <w:rFonts w:ascii="Cambria" w:hAnsi="Cambria"/>
        </w:rPr>
        <w:t xml:space="preserve"> appendices add up in terms of a specific type of </w:t>
      </w:r>
      <w:r w:rsidR="003644C2">
        <w:rPr>
          <w:rFonts w:ascii="Cambria" w:hAnsi="Cambria"/>
        </w:rPr>
        <w:t>actor passing or failing the “guilty mind” and “guilty act” hoop tests.</w:t>
      </w:r>
    </w:p>
    <w:p w14:paraId="4EF766C8" w14:textId="4BF5450A" w:rsidR="000C56E8" w:rsidRPr="00025F8B" w:rsidRDefault="000C56E8" w:rsidP="00FB4709">
      <w:pPr>
        <w:pStyle w:val="Heading1"/>
        <w:jc w:val="both"/>
        <w:rPr>
          <w:rFonts w:ascii="Cambria" w:hAnsi="Cambria"/>
          <w:color w:val="auto"/>
          <w:sz w:val="24"/>
          <w:szCs w:val="24"/>
        </w:rPr>
      </w:pPr>
      <w:bookmarkStart w:id="3" w:name="_Toc470355599"/>
      <w:r w:rsidRPr="00025F8B">
        <w:rPr>
          <w:rFonts w:ascii="Cambria" w:hAnsi="Cambria"/>
          <w:color w:val="auto"/>
          <w:sz w:val="24"/>
          <w:szCs w:val="24"/>
        </w:rPr>
        <w:t>A.4.</w:t>
      </w:r>
      <w:r w:rsidR="00671138" w:rsidRPr="00025F8B">
        <w:rPr>
          <w:rFonts w:ascii="Cambria" w:hAnsi="Cambria"/>
          <w:color w:val="auto"/>
          <w:sz w:val="24"/>
          <w:szCs w:val="24"/>
        </w:rPr>
        <w:t>4</w:t>
      </w:r>
      <w:r w:rsidRPr="00025F8B">
        <w:rPr>
          <w:rFonts w:ascii="Cambria" w:hAnsi="Cambria"/>
          <w:color w:val="auto"/>
          <w:sz w:val="24"/>
          <w:szCs w:val="24"/>
        </w:rPr>
        <w:t xml:space="preserve">. Finding the “mastermind” behind the </w:t>
      </w:r>
      <w:r w:rsidR="00671138" w:rsidRPr="00025F8B">
        <w:rPr>
          <w:rFonts w:ascii="Cambria" w:hAnsi="Cambria"/>
          <w:color w:val="auto"/>
          <w:sz w:val="24"/>
          <w:szCs w:val="24"/>
        </w:rPr>
        <w:t>“</w:t>
      </w:r>
      <w:r w:rsidRPr="00025F8B">
        <w:rPr>
          <w:rFonts w:ascii="Cambria" w:hAnsi="Cambria"/>
          <w:color w:val="auto"/>
          <w:sz w:val="24"/>
          <w:szCs w:val="24"/>
        </w:rPr>
        <w:t>crime</w:t>
      </w:r>
      <w:r w:rsidR="00671138" w:rsidRPr="00025F8B">
        <w:rPr>
          <w:rFonts w:ascii="Cambria" w:hAnsi="Cambria"/>
          <w:color w:val="auto"/>
          <w:sz w:val="24"/>
          <w:szCs w:val="24"/>
        </w:rPr>
        <w:t>”</w:t>
      </w:r>
      <w:bookmarkEnd w:id="3"/>
    </w:p>
    <w:p w14:paraId="378A47F6" w14:textId="77777777" w:rsidR="000C56E8" w:rsidRPr="00025F8B" w:rsidRDefault="000C56E8" w:rsidP="00FB4709">
      <w:pPr>
        <w:jc w:val="both"/>
        <w:rPr>
          <w:rFonts w:ascii="Cambria" w:hAnsi="Cambria"/>
        </w:rPr>
      </w:pPr>
    </w:p>
    <w:p w14:paraId="7BCECE64" w14:textId="1A514B37" w:rsidR="00B674C6" w:rsidRPr="00025F8B" w:rsidRDefault="00671138" w:rsidP="00FB4709">
      <w:pPr>
        <w:jc w:val="both"/>
        <w:rPr>
          <w:rFonts w:ascii="Cambria" w:hAnsi="Cambria"/>
          <w:shd w:val="clear" w:color="auto" w:fill="FFFFFF"/>
        </w:rPr>
      </w:pPr>
      <w:r w:rsidRPr="00025F8B">
        <w:rPr>
          <w:rFonts w:ascii="Cambria" w:hAnsi="Cambria"/>
        </w:rPr>
        <w:t xml:space="preserve">In murder cases, </w:t>
      </w:r>
      <w:r w:rsidR="001C1FB5" w:rsidRPr="00025F8B">
        <w:rPr>
          <w:rFonts w:ascii="Cambria" w:hAnsi="Cambria"/>
        </w:rPr>
        <w:t xml:space="preserve">he who </w:t>
      </w:r>
      <w:r w:rsidR="001C1FB5" w:rsidRPr="00025F8B">
        <w:rPr>
          <w:rFonts w:ascii="Cambria" w:hAnsi="Cambria"/>
          <w:shd w:val="clear" w:color="auto" w:fill="FFFFFF"/>
        </w:rPr>
        <w:t>encourages the commission of a murder or assists with the commission is to be dealt with as a murderer</w:t>
      </w:r>
      <w:r w:rsidR="002128D6">
        <w:rPr>
          <w:rFonts w:ascii="Cambria" w:hAnsi="Cambria"/>
          <w:shd w:val="clear" w:color="auto" w:fill="FFFFFF"/>
        </w:rPr>
        <w:t xml:space="preserve"> </w:t>
      </w:r>
      <w:r w:rsidR="00146F8A" w:rsidRPr="00025F8B">
        <w:rPr>
          <w:rFonts w:ascii="Cambria" w:hAnsi="Cambria"/>
          <w:shd w:val="clear" w:color="auto" w:fill="FFFFFF"/>
        </w:rPr>
        <w:t xml:space="preserve"> (Crown Prosecution Service, 2020</w:t>
      </w:r>
      <w:r w:rsidR="009C6E0A">
        <w:rPr>
          <w:rFonts w:ascii="Cambria" w:hAnsi="Cambria"/>
          <w:shd w:val="clear" w:color="auto" w:fill="FFFFFF"/>
        </w:rPr>
        <w:t>b</w:t>
      </w:r>
      <w:r w:rsidR="00146F8A" w:rsidRPr="00025F8B">
        <w:rPr>
          <w:rFonts w:ascii="Cambria" w:hAnsi="Cambria"/>
          <w:shd w:val="clear" w:color="auto" w:fill="FFFFFF"/>
        </w:rPr>
        <w:t>)</w:t>
      </w:r>
      <w:r w:rsidR="002128D6">
        <w:rPr>
          <w:rFonts w:ascii="Cambria" w:hAnsi="Cambria"/>
          <w:shd w:val="clear" w:color="auto" w:fill="FFFFFF"/>
        </w:rPr>
        <w:t xml:space="preserve"> – </w:t>
      </w:r>
      <w:r w:rsidR="0019414E">
        <w:rPr>
          <w:rFonts w:ascii="Cambria" w:hAnsi="Cambria"/>
          <w:shd w:val="clear" w:color="auto" w:fill="FFFFFF"/>
        </w:rPr>
        <w:t>albeit</w:t>
      </w:r>
      <w:r w:rsidR="002128D6">
        <w:rPr>
          <w:rFonts w:ascii="Cambria" w:hAnsi="Cambria"/>
          <w:shd w:val="clear" w:color="auto" w:fill="FFFFFF"/>
        </w:rPr>
        <w:t xml:space="preserve"> no more than a murderer</w:t>
      </w:r>
      <w:r w:rsidR="00146F8A" w:rsidRPr="00025F8B">
        <w:rPr>
          <w:rFonts w:ascii="Cambria" w:hAnsi="Cambria"/>
          <w:shd w:val="clear" w:color="auto" w:fill="FFFFFF"/>
        </w:rPr>
        <w:t xml:space="preserve">. </w:t>
      </w:r>
      <w:r w:rsidR="00B674C6" w:rsidRPr="00025F8B">
        <w:rPr>
          <w:rFonts w:ascii="Cambria" w:hAnsi="Cambria"/>
          <w:shd w:val="clear" w:color="auto" w:fill="FFFFFF"/>
        </w:rPr>
        <w:t xml:space="preserve">Moreover, duress is not a defense to a charge of murder (Ibid.). </w:t>
      </w:r>
      <w:r w:rsidR="00D4485D" w:rsidRPr="00025F8B">
        <w:rPr>
          <w:rFonts w:ascii="Cambria" w:hAnsi="Cambria"/>
          <w:shd w:val="clear" w:color="auto" w:fill="FFFFFF"/>
        </w:rPr>
        <w:t>Fortunately, i</w:t>
      </w:r>
      <w:r w:rsidR="00DF639E" w:rsidRPr="00025F8B">
        <w:rPr>
          <w:rFonts w:ascii="Cambria" w:hAnsi="Cambria"/>
          <w:shd w:val="clear" w:color="auto" w:fill="FFFFFF"/>
        </w:rPr>
        <w:t>n</w:t>
      </w:r>
      <w:r w:rsidR="00D4485D" w:rsidRPr="00025F8B">
        <w:rPr>
          <w:rFonts w:ascii="Cambria" w:hAnsi="Cambria"/>
          <w:shd w:val="clear" w:color="auto" w:fill="FFFFFF"/>
        </w:rPr>
        <w:t xml:space="preserve"> democratic</w:t>
      </w:r>
      <w:r w:rsidR="00DF639E" w:rsidRPr="00025F8B">
        <w:rPr>
          <w:rFonts w:ascii="Cambria" w:hAnsi="Cambria"/>
          <w:shd w:val="clear" w:color="auto" w:fill="FFFFFF"/>
        </w:rPr>
        <w:t xml:space="preserve"> politics, </w:t>
      </w:r>
      <w:r w:rsidR="00D4485D" w:rsidRPr="00025F8B">
        <w:rPr>
          <w:rFonts w:ascii="Cambria" w:hAnsi="Cambria"/>
          <w:shd w:val="clear" w:color="auto" w:fill="FFFFFF"/>
        </w:rPr>
        <w:t>most institutional chan</w:t>
      </w:r>
      <w:r w:rsidR="00436E1A" w:rsidRPr="00025F8B">
        <w:rPr>
          <w:rFonts w:ascii="Cambria" w:hAnsi="Cambria"/>
          <w:shd w:val="clear" w:color="auto" w:fill="FFFFFF"/>
        </w:rPr>
        <w:t>ges do not constitute “crimes”</w:t>
      </w:r>
      <w:r w:rsidR="002128D6">
        <w:rPr>
          <w:rFonts w:ascii="Cambria" w:hAnsi="Cambria"/>
          <w:shd w:val="clear" w:color="auto" w:fill="FFFFFF"/>
        </w:rPr>
        <w:t>. In democratic politics,</w:t>
      </w:r>
      <w:r w:rsidR="00436E1A" w:rsidRPr="00025F8B">
        <w:rPr>
          <w:rFonts w:ascii="Cambria" w:hAnsi="Cambria"/>
          <w:shd w:val="clear" w:color="auto" w:fill="FFFFFF"/>
        </w:rPr>
        <w:t xml:space="preserve"> commentators </w:t>
      </w:r>
      <w:r w:rsidR="002128D6">
        <w:rPr>
          <w:rFonts w:ascii="Cambria" w:hAnsi="Cambria"/>
          <w:shd w:val="clear" w:color="auto" w:fill="FFFFFF"/>
        </w:rPr>
        <w:t xml:space="preserve">also </w:t>
      </w:r>
      <w:r w:rsidR="00436E1A" w:rsidRPr="00025F8B">
        <w:rPr>
          <w:rFonts w:ascii="Cambria" w:hAnsi="Cambria"/>
          <w:shd w:val="clear" w:color="auto" w:fill="FFFFFF"/>
        </w:rPr>
        <w:t>often apply an implicit hierarchy of guilt that differs from th</w:t>
      </w:r>
      <w:r w:rsidR="003623ED" w:rsidRPr="00025F8B">
        <w:rPr>
          <w:rFonts w:ascii="Cambria" w:hAnsi="Cambria"/>
          <w:shd w:val="clear" w:color="auto" w:fill="FFFFFF"/>
        </w:rPr>
        <w:t>at applie</w:t>
      </w:r>
      <w:r w:rsidR="001961A0">
        <w:rPr>
          <w:rFonts w:ascii="Cambria" w:hAnsi="Cambria"/>
          <w:shd w:val="clear" w:color="auto" w:fill="FFFFFF"/>
        </w:rPr>
        <w:t xml:space="preserve">d in criminal law. If some </w:t>
      </w:r>
      <w:r w:rsidR="003623ED" w:rsidRPr="00025F8B">
        <w:rPr>
          <w:rFonts w:ascii="Cambria" w:hAnsi="Cambria"/>
          <w:shd w:val="clear" w:color="auto" w:fill="FFFFFF"/>
        </w:rPr>
        <w:t xml:space="preserve">actor </w:t>
      </w:r>
      <w:r w:rsidR="001961A0" w:rsidRPr="00025F8B">
        <w:rPr>
          <w:rFonts w:ascii="Cambria" w:hAnsi="Cambria"/>
          <w:shd w:val="clear" w:color="auto" w:fill="FFFFFF"/>
        </w:rPr>
        <w:t>were</w:t>
      </w:r>
      <w:r w:rsidR="00436E1A" w:rsidRPr="00025F8B">
        <w:rPr>
          <w:rFonts w:ascii="Cambria" w:hAnsi="Cambria"/>
          <w:shd w:val="clear" w:color="auto" w:fill="FFFFFF"/>
        </w:rPr>
        <w:t xml:space="preserve"> proven to have coerced – or even coopted </w:t>
      </w:r>
      <w:r w:rsidR="00C109D5" w:rsidRPr="00025F8B">
        <w:rPr>
          <w:rFonts w:ascii="Cambria" w:hAnsi="Cambria"/>
          <w:shd w:val="clear" w:color="auto" w:fill="FFFFFF"/>
        </w:rPr>
        <w:t>–</w:t>
      </w:r>
      <w:r w:rsidR="00436E1A" w:rsidRPr="00025F8B">
        <w:rPr>
          <w:rFonts w:ascii="Cambria" w:hAnsi="Cambria"/>
          <w:shd w:val="clear" w:color="auto" w:fill="FFFFFF"/>
        </w:rPr>
        <w:t xml:space="preserve"> </w:t>
      </w:r>
      <w:r w:rsidR="00C109D5" w:rsidRPr="00025F8B">
        <w:rPr>
          <w:rFonts w:ascii="Cambria" w:hAnsi="Cambria"/>
          <w:shd w:val="clear" w:color="auto" w:fill="FFFFFF"/>
        </w:rPr>
        <w:t>another actor</w:t>
      </w:r>
      <w:r w:rsidR="00436E1A" w:rsidRPr="00025F8B">
        <w:rPr>
          <w:rFonts w:ascii="Cambria" w:hAnsi="Cambria"/>
          <w:shd w:val="clear" w:color="auto" w:fill="FFFFFF"/>
        </w:rPr>
        <w:t xml:space="preserve"> into introducing some reform, they would </w:t>
      </w:r>
      <w:r w:rsidR="00C109D5" w:rsidRPr="00025F8B">
        <w:rPr>
          <w:rFonts w:ascii="Cambria" w:hAnsi="Cambria"/>
          <w:shd w:val="clear" w:color="auto" w:fill="FFFFFF"/>
        </w:rPr>
        <w:t>likely be considered</w:t>
      </w:r>
      <w:r w:rsidR="00436E1A" w:rsidRPr="00025F8B">
        <w:rPr>
          <w:rFonts w:ascii="Cambria" w:hAnsi="Cambria"/>
          <w:shd w:val="clear" w:color="auto" w:fill="FFFFFF"/>
        </w:rPr>
        <w:t xml:space="preserve"> “guilt</w:t>
      </w:r>
      <w:r w:rsidR="00BA09DF">
        <w:rPr>
          <w:rFonts w:ascii="Cambria" w:hAnsi="Cambria"/>
          <w:shd w:val="clear" w:color="auto" w:fill="FFFFFF"/>
        </w:rPr>
        <w:t>ier</w:t>
      </w:r>
      <w:r w:rsidR="00436E1A" w:rsidRPr="00025F8B">
        <w:rPr>
          <w:rFonts w:ascii="Cambria" w:hAnsi="Cambria"/>
          <w:shd w:val="clear" w:color="auto" w:fill="FFFFFF"/>
        </w:rPr>
        <w:t xml:space="preserve">” of the reform than the actor who </w:t>
      </w:r>
      <w:r w:rsidR="00C109D5" w:rsidRPr="00025F8B">
        <w:rPr>
          <w:rFonts w:ascii="Cambria" w:hAnsi="Cambria"/>
          <w:shd w:val="clear" w:color="auto" w:fill="FFFFFF"/>
        </w:rPr>
        <w:t>got mobilized into introducing it</w:t>
      </w:r>
      <w:r w:rsidR="00436E1A" w:rsidRPr="00025F8B">
        <w:rPr>
          <w:rFonts w:ascii="Cambria" w:hAnsi="Cambria"/>
          <w:shd w:val="clear" w:color="auto" w:fill="FFFFFF"/>
        </w:rPr>
        <w:t xml:space="preserve">. </w:t>
      </w:r>
      <w:r w:rsidR="00BE006C" w:rsidRPr="00025F8B">
        <w:rPr>
          <w:rFonts w:ascii="Cambria" w:hAnsi="Cambria"/>
          <w:shd w:val="clear" w:color="auto" w:fill="FFFFFF"/>
        </w:rPr>
        <w:t xml:space="preserve">When some reform is being introduced, the question that commentators often </w:t>
      </w:r>
      <w:r w:rsidR="006D4158" w:rsidRPr="00025F8B">
        <w:rPr>
          <w:rFonts w:ascii="Cambria" w:hAnsi="Cambria"/>
          <w:shd w:val="clear" w:color="auto" w:fill="FFFFFF"/>
        </w:rPr>
        <w:t>implicitly</w:t>
      </w:r>
      <w:r w:rsidR="00BA09DF">
        <w:rPr>
          <w:rFonts w:ascii="Cambria" w:hAnsi="Cambria"/>
          <w:shd w:val="clear" w:color="auto" w:fill="FFFFFF"/>
        </w:rPr>
        <w:t xml:space="preserve"> or explicitly</w:t>
      </w:r>
      <w:r w:rsidR="006D4158" w:rsidRPr="00025F8B">
        <w:rPr>
          <w:rFonts w:ascii="Cambria" w:hAnsi="Cambria"/>
          <w:shd w:val="clear" w:color="auto" w:fill="FFFFFF"/>
        </w:rPr>
        <w:t xml:space="preserve"> </w:t>
      </w:r>
      <w:r w:rsidR="00BE006C" w:rsidRPr="00025F8B">
        <w:rPr>
          <w:rFonts w:ascii="Cambria" w:hAnsi="Cambria"/>
          <w:shd w:val="clear" w:color="auto" w:fill="FFFFFF"/>
        </w:rPr>
        <w:t xml:space="preserve">ask is: Who is behind it? </w:t>
      </w:r>
      <w:r w:rsidR="000F1A06">
        <w:rPr>
          <w:rFonts w:ascii="Cambria" w:hAnsi="Cambria"/>
          <w:shd w:val="clear" w:color="auto" w:fill="FFFFFF"/>
        </w:rPr>
        <w:t xml:space="preserve">Is there a </w:t>
      </w:r>
      <w:r w:rsidR="00BE006C" w:rsidRPr="00025F8B">
        <w:rPr>
          <w:rFonts w:ascii="Cambria" w:hAnsi="Cambria"/>
          <w:shd w:val="clear" w:color="auto" w:fill="FFFFFF"/>
        </w:rPr>
        <w:t>“mastermind</w:t>
      </w:r>
      <w:r w:rsidR="006541E9" w:rsidRPr="00025F8B">
        <w:rPr>
          <w:rStyle w:val="FootnoteReference"/>
          <w:rFonts w:ascii="Cambria" w:hAnsi="Cambria"/>
          <w:shd w:val="clear" w:color="auto" w:fill="FFFFFF"/>
        </w:rPr>
        <w:footnoteReference w:id="8"/>
      </w:r>
      <w:r w:rsidR="00BE006C" w:rsidRPr="00025F8B">
        <w:rPr>
          <w:rFonts w:ascii="Cambria" w:hAnsi="Cambria"/>
          <w:shd w:val="clear" w:color="auto" w:fill="FFFFFF"/>
        </w:rPr>
        <w:t xml:space="preserve">”? </w:t>
      </w:r>
      <w:r w:rsidR="000F1A06">
        <w:rPr>
          <w:rFonts w:ascii="Cambria" w:hAnsi="Cambria"/>
          <w:shd w:val="clear" w:color="auto" w:fill="FFFFFF"/>
        </w:rPr>
        <w:t xml:space="preserve">Who is it? </w:t>
      </w:r>
      <w:r w:rsidR="00BE006C" w:rsidRPr="00025F8B">
        <w:rPr>
          <w:rFonts w:ascii="Cambria" w:hAnsi="Cambria"/>
          <w:shd w:val="clear" w:color="auto" w:fill="FFFFFF"/>
        </w:rPr>
        <w:t>Or, if there are several masterminds</w:t>
      </w:r>
      <w:r w:rsidR="00BE006C" w:rsidRPr="00025F8B">
        <w:rPr>
          <w:rFonts w:ascii="Cambria" w:hAnsi="Cambria"/>
        </w:rPr>
        <w:t>,</w:t>
      </w:r>
      <w:r w:rsidR="00BE006C" w:rsidRPr="00025F8B">
        <w:rPr>
          <w:rFonts w:ascii="Cambria" w:hAnsi="Cambria"/>
          <w:shd w:val="clear" w:color="auto" w:fill="FFFFFF"/>
        </w:rPr>
        <w:t xml:space="preserve"> who are they? </w:t>
      </w:r>
    </w:p>
    <w:p w14:paraId="24184284" w14:textId="77777777" w:rsidR="00335CF9" w:rsidRPr="00025F8B" w:rsidRDefault="00335CF9" w:rsidP="00FB4709">
      <w:pPr>
        <w:jc w:val="both"/>
        <w:rPr>
          <w:rFonts w:ascii="Cambria" w:hAnsi="Cambria"/>
          <w:shd w:val="clear" w:color="auto" w:fill="FFFFFF"/>
        </w:rPr>
      </w:pPr>
    </w:p>
    <w:p w14:paraId="464857DB" w14:textId="7E10BAEE" w:rsidR="006541E9" w:rsidRPr="00F9158C" w:rsidRDefault="006541E9" w:rsidP="00FB4709">
      <w:pPr>
        <w:jc w:val="both"/>
        <w:rPr>
          <w:rFonts w:ascii="Cambria" w:hAnsi="Cambria"/>
          <w:shd w:val="clear" w:color="auto" w:fill="FFFFFF"/>
        </w:rPr>
      </w:pPr>
      <w:r w:rsidRPr="00F9158C">
        <w:rPr>
          <w:rFonts w:ascii="Cambria" w:hAnsi="Cambria"/>
          <w:shd w:val="clear" w:color="auto" w:fill="FFFFFF"/>
        </w:rPr>
        <w:t xml:space="preserve">How can one gain confidence in the hypothesis that one specific actor – not another one – is the “mastermind” behind </w:t>
      </w:r>
      <w:r w:rsidR="00A552F0" w:rsidRPr="00F9158C">
        <w:rPr>
          <w:rFonts w:ascii="Cambria" w:hAnsi="Cambria"/>
          <w:shd w:val="clear" w:color="auto" w:fill="FFFFFF"/>
        </w:rPr>
        <w:t>a reform? There are no clear rules here. Th</w:t>
      </w:r>
      <w:r w:rsidR="00AA3C38" w:rsidRPr="00F9158C">
        <w:rPr>
          <w:rFonts w:ascii="Cambria" w:hAnsi="Cambria"/>
          <w:shd w:val="clear" w:color="auto" w:fill="FFFFFF"/>
        </w:rPr>
        <w:t>e approach I have used in the paper can be summarized</w:t>
      </w:r>
      <w:r w:rsidR="00A552F0" w:rsidRPr="00F9158C">
        <w:rPr>
          <w:rFonts w:ascii="Cambria" w:hAnsi="Cambria"/>
          <w:shd w:val="clear" w:color="auto" w:fill="FFFFFF"/>
        </w:rPr>
        <w:t xml:space="preserve"> as follows: </w:t>
      </w:r>
    </w:p>
    <w:p w14:paraId="605F5408" w14:textId="77777777" w:rsidR="006541E9" w:rsidRPr="00F9158C" w:rsidRDefault="006541E9" w:rsidP="00FB4709">
      <w:pPr>
        <w:jc w:val="both"/>
        <w:rPr>
          <w:rFonts w:ascii="Cambria" w:hAnsi="Cambria"/>
          <w:shd w:val="clear" w:color="auto" w:fill="FFFFFF"/>
        </w:rPr>
      </w:pPr>
    </w:p>
    <w:p w14:paraId="2A81B735" w14:textId="63CE1BB6" w:rsidR="00652F6D" w:rsidRDefault="007E338E" w:rsidP="00FB4709">
      <w:pPr>
        <w:jc w:val="both"/>
        <w:rPr>
          <w:rFonts w:ascii="Cambria" w:hAnsi="Cambria"/>
          <w:shd w:val="clear" w:color="auto" w:fill="FFFFFF"/>
        </w:rPr>
      </w:pPr>
      <w:r w:rsidRPr="00F9158C">
        <w:rPr>
          <w:rFonts w:ascii="Cambria" w:hAnsi="Cambria"/>
          <w:shd w:val="clear" w:color="auto" w:fill="FFFFFF"/>
        </w:rPr>
        <w:t>Firstly, when finding the best possible evidence on an actor’s “guilty mind” and “guilty act” I</w:t>
      </w:r>
      <w:r w:rsidR="009C1CB1">
        <w:rPr>
          <w:rFonts w:ascii="Cambria" w:hAnsi="Cambria"/>
          <w:shd w:val="clear" w:color="auto" w:fill="FFFFFF"/>
        </w:rPr>
        <w:t xml:space="preserve"> pay</w:t>
      </w:r>
      <w:r w:rsidR="004E672B" w:rsidRPr="00F9158C">
        <w:rPr>
          <w:rFonts w:ascii="Cambria" w:hAnsi="Cambria"/>
          <w:shd w:val="clear" w:color="auto" w:fill="FFFFFF"/>
        </w:rPr>
        <w:t xml:space="preserve"> attention to the </w:t>
      </w:r>
      <w:r w:rsidR="00B305F2" w:rsidRPr="00F9158C">
        <w:rPr>
          <w:rFonts w:ascii="Cambria" w:hAnsi="Cambria"/>
          <w:i/>
          <w:shd w:val="clear" w:color="auto" w:fill="FFFFFF"/>
        </w:rPr>
        <w:t xml:space="preserve">relative </w:t>
      </w:r>
      <w:r w:rsidR="004E672B" w:rsidRPr="00F9158C">
        <w:rPr>
          <w:rFonts w:ascii="Cambria" w:hAnsi="Cambria"/>
          <w:i/>
          <w:shd w:val="clear" w:color="auto" w:fill="FFFFFF"/>
        </w:rPr>
        <w:t>t</w:t>
      </w:r>
      <w:r w:rsidR="006152FD" w:rsidRPr="00F9158C">
        <w:rPr>
          <w:rFonts w:ascii="Cambria" w:hAnsi="Cambria"/>
          <w:i/>
          <w:shd w:val="clear" w:color="auto" w:fill="FFFFFF"/>
        </w:rPr>
        <w:t>iming</w:t>
      </w:r>
      <w:r w:rsidR="004E672B" w:rsidRPr="00F9158C">
        <w:rPr>
          <w:rFonts w:ascii="Cambria" w:hAnsi="Cambria"/>
          <w:shd w:val="clear" w:color="auto" w:fill="FFFFFF"/>
        </w:rPr>
        <w:t xml:space="preserve"> of </w:t>
      </w:r>
      <w:r w:rsidR="00B305F2" w:rsidRPr="00F9158C">
        <w:rPr>
          <w:rFonts w:ascii="Cambria" w:hAnsi="Cambria"/>
          <w:shd w:val="clear" w:color="auto" w:fill="FFFFFF"/>
        </w:rPr>
        <w:t xml:space="preserve">the revelation of </w:t>
      </w:r>
      <w:r w:rsidRPr="00F9158C">
        <w:rPr>
          <w:rFonts w:ascii="Cambria" w:hAnsi="Cambria"/>
          <w:shd w:val="clear" w:color="auto" w:fill="FFFFFF"/>
        </w:rPr>
        <w:t xml:space="preserve">their </w:t>
      </w:r>
      <w:r w:rsidR="00B305F2" w:rsidRPr="00F9158C">
        <w:rPr>
          <w:rFonts w:ascii="Cambria" w:hAnsi="Cambria"/>
          <w:shd w:val="clear" w:color="auto" w:fill="FFFFFF"/>
        </w:rPr>
        <w:t>preferences and engagement in political activities</w:t>
      </w:r>
      <w:r w:rsidR="006152FD" w:rsidRPr="00F9158C">
        <w:rPr>
          <w:rFonts w:ascii="Cambria" w:hAnsi="Cambria"/>
          <w:shd w:val="clear" w:color="auto" w:fill="FFFFFF"/>
        </w:rPr>
        <w:t>: the earlier an actor expresses support for</w:t>
      </w:r>
      <w:r w:rsidR="004E672B" w:rsidRPr="00F9158C">
        <w:rPr>
          <w:rFonts w:ascii="Cambria" w:hAnsi="Cambria"/>
          <w:shd w:val="clear" w:color="auto" w:fill="FFFFFF"/>
        </w:rPr>
        <w:t xml:space="preserve"> (or, clearly acts in favor of)</w:t>
      </w:r>
      <w:r w:rsidR="006152FD" w:rsidRPr="00F9158C">
        <w:rPr>
          <w:rFonts w:ascii="Cambria" w:hAnsi="Cambria"/>
          <w:shd w:val="clear" w:color="auto" w:fill="FFFFFF"/>
        </w:rPr>
        <w:t xml:space="preserve"> a change in comparison with other actors, or, in other words, the greater the gap between the time when Actor A express their support for the change vs. the time when Actor B express their support for some change, the greater the likelihood that Actor A mobilizes Actor B</w:t>
      </w:r>
      <w:r w:rsidR="00161FEB" w:rsidRPr="00F9158C">
        <w:rPr>
          <w:rFonts w:ascii="Cambria" w:hAnsi="Cambria"/>
          <w:shd w:val="clear" w:color="auto" w:fill="FFFFFF"/>
        </w:rPr>
        <w:t xml:space="preserve"> into supporting the change</w:t>
      </w:r>
      <w:r w:rsidR="00F9158C" w:rsidRPr="00F9158C">
        <w:rPr>
          <w:rFonts w:ascii="Cambria" w:hAnsi="Cambria"/>
          <w:shd w:val="clear" w:color="auto" w:fill="FFFFFF"/>
        </w:rPr>
        <w:t>.</w:t>
      </w:r>
    </w:p>
    <w:p w14:paraId="1D06099B" w14:textId="77777777" w:rsidR="007B64D2" w:rsidRDefault="007B64D2" w:rsidP="00FB4709">
      <w:pPr>
        <w:jc w:val="both"/>
        <w:rPr>
          <w:rFonts w:ascii="Cambria" w:hAnsi="Cambria"/>
          <w:shd w:val="clear" w:color="auto" w:fill="FFFFFF"/>
        </w:rPr>
      </w:pPr>
    </w:p>
    <w:p w14:paraId="6506A523" w14:textId="77777777" w:rsidR="00B60E3E" w:rsidRDefault="007B64D2" w:rsidP="00FB4709">
      <w:pPr>
        <w:jc w:val="both"/>
        <w:rPr>
          <w:rFonts w:ascii="Cambria" w:hAnsi="Cambria"/>
          <w:shd w:val="clear" w:color="auto" w:fill="FFFFFF"/>
        </w:rPr>
      </w:pPr>
      <w:r>
        <w:rPr>
          <w:rFonts w:ascii="Cambria" w:hAnsi="Cambria"/>
          <w:shd w:val="clear" w:color="auto" w:fill="FFFFFF"/>
        </w:rPr>
        <w:t xml:space="preserve">Secondly, </w:t>
      </w:r>
      <w:r w:rsidR="00913732">
        <w:rPr>
          <w:rFonts w:ascii="Cambria" w:hAnsi="Cambria"/>
          <w:shd w:val="clear" w:color="auto" w:fill="FFFFFF"/>
        </w:rPr>
        <w:t xml:space="preserve">when analyzing published documents and interviews, </w:t>
      </w:r>
      <w:r>
        <w:rPr>
          <w:rFonts w:ascii="Cambria" w:hAnsi="Cambria"/>
          <w:shd w:val="clear" w:color="auto" w:fill="FFFFFF"/>
        </w:rPr>
        <w:t xml:space="preserve">I look </w:t>
      </w:r>
      <w:r w:rsidR="00913732">
        <w:rPr>
          <w:rFonts w:ascii="Cambria" w:hAnsi="Cambria"/>
          <w:shd w:val="clear" w:color="auto" w:fill="FFFFFF"/>
        </w:rPr>
        <w:t xml:space="preserve">for any signs of an actor “confessing” to having tried to mobilize other actors into action or of an actor “implicating” another actor in their being mobilized into action. </w:t>
      </w:r>
    </w:p>
    <w:p w14:paraId="78B736F1" w14:textId="77777777" w:rsidR="00B60E3E" w:rsidRDefault="00B60E3E" w:rsidP="00FB4709">
      <w:pPr>
        <w:jc w:val="both"/>
        <w:rPr>
          <w:rFonts w:ascii="Cambria" w:hAnsi="Cambria"/>
          <w:shd w:val="clear" w:color="auto" w:fill="FFFFFF"/>
        </w:rPr>
      </w:pPr>
    </w:p>
    <w:p w14:paraId="0BAB31D0" w14:textId="4AFA2055" w:rsidR="007B64D2" w:rsidRDefault="00913732" w:rsidP="00FB4709">
      <w:pPr>
        <w:jc w:val="both"/>
        <w:rPr>
          <w:rFonts w:ascii="Cambria" w:hAnsi="Cambria"/>
          <w:shd w:val="clear" w:color="auto" w:fill="FFFFFF"/>
        </w:rPr>
      </w:pPr>
      <w:r>
        <w:rPr>
          <w:rFonts w:ascii="Cambria" w:hAnsi="Cambria"/>
          <w:shd w:val="clear" w:color="auto" w:fill="FFFFFF"/>
        </w:rPr>
        <w:t xml:space="preserve">In a criminal court, a confession </w:t>
      </w:r>
      <w:r w:rsidR="00300055">
        <w:rPr>
          <w:rFonts w:ascii="Cambria" w:hAnsi="Cambria"/>
          <w:shd w:val="clear" w:color="auto" w:fill="FFFFFF"/>
        </w:rPr>
        <w:t xml:space="preserve">by an accused person </w:t>
      </w:r>
      <w:r w:rsidR="00D4036E">
        <w:rPr>
          <w:rFonts w:ascii="Cambria" w:hAnsi="Cambria"/>
          <w:shd w:val="clear" w:color="auto" w:fill="FFFFFF"/>
        </w:rPr>
        <w:t>would very likely lead to conviction</w:t>
      </w:r>
      <w:r w:rsidR="00300055">
        <w:rPr>
          <w:rFonts w:ascii="Cambria" w:hAnsi="Cambria"/>
          <w:shd w:val="clear" w:color="auto" w:fill="FFFFFF"/>
        </w:rPr>
        <w:t xml:space="preserve"> provided that the confession is admissible in evidence</w:t>
      </w:r>
      <w:r w:rsidR="00D4036E">
        <w:rPr>
          <w:rFonts w:ascii="Cambria" w:hAnsi="Cambria"/>
          <w:shd w:val="clear" w:color="auto" w:fill="FFFFFF"/>
        </w:rPr>
        <w:t xml:space="preserve"> and was, for instance, not obtained by oppression</w:t>
      </w:r>
      <w:r w:rsidR="006C11AD">
        <w:rPr>
          <w:rFonts w:ascii="Cambria" w:hAnsi="Cambria"/>
          <w:shd w:val="clear" w:color="auto" w:fill="FFFFFF"/>
        </w:rPr>
        <w:t xml:space="preserve">. In political science and process tracing, such confessions obviously have to be taken with a grain of salt since </w:t>
      </w:r>
      <w:r w:rsidR="006A6348">
        <w:rPr>
          <w:rFonts w:ascii="Cambria" w:hAnsi="Cambria"/>
          <w:shd w:val="clear" w:color="auto" w:fill="FFFFFF"/>
        </w:rPr>
        <w:t>actors may be trying to “claim credit” if an institutional change has been quite popular</w:t>
      </w:r>
      <w:r w:rsidR="00B60E3E">
        <w:rPr>
          <w:rFonts w:ascii="Cambria" w:hAnsi="Cambria"/>
          <w:shd w:val="clear" w:color="auto" w:fill="FFFFFF"/>
        </w:rPr>
        <w:t xml:space="preserve"> (though if that institutional change was not popular, a confession should be considered more credible).</w:t>
      </w:r>
      <w:r w:rsidR="006A6348">
        <w:rPr>
          <w:rFonts w:ascii="Cambria" w:hAnsi="Cambria"/>
          <w:shd w:val="clear" w:color="auto" w:fill="FFFFFF"/>
        </w:rPr>
        <w:t xml:space="preserve"> </w:t>
      </w:r>
      <w:r>
        <w:rPr>
          <w:rFonts w:ascii="Cambria" w:hAnsi="Cambria"/>
          <w:shd w:val="clear" w:color="auto" w:fill="FFFFFF"/>
        </w:rPr>
        <w:t xml:space="preserve"> </w:t>
      </w:r>
    </w:p>
    <w:p w14:paraId="27C3A221" w14:textId="77777777" w:rsidR="00B60E3E" w:rsidRDefault="00B60E3E" w:rsidP="00FB4709">
      <w:pPr>
        <w:jc w:val="both"/>
        <w:rPr>
          <w:rFonts w:ascii="Cambria" w:hAnsi="Cambria"/>
          <w:shd w:val="clear" w:color="auto" w:fill="FFFFFF"/>
        </w:rPr>
      </w:pPr>
    </w:p>
    <w:p w14:paraId="172F9918" w14:textId="18CEA50C" w:rsidR="00B60E3E" w:rsidRDefault="00105A14" w:rsidP="00FB4709">
      <w:pPr>
        <w:jc w:val="both"/>
        <w:rPr>
          <w:rFonts w:ascii="Cambria" w:hAnsi="Cambria"/>
          <w:shd w:val="clear" w:color="auto" w:fill="FFFFFF"/>
        </w:rPr>
      </w:pPr>
      <w:r>
        <w:rPr>
          <w:rFonts w:ascii="Cambria" w:hAnsi="Cambria"/>
          <w:shd w:val="clear" w:color="auto" w:fill="FFFFFF"/>
        </w:rPr>
        <w:t xml:space="preserve">In a criminal court, if a witness or another accused person </w:t>
      </w:r>
      <w:r w:rsidR="00905D91">
        <w:rPr>
          <w:rFonts w:ascii="Cambria" w:hAnsi="Cambria"/>
          <w:shd w:val="clear" w:color="auto" w:fill="FFFFFF"/>
        </w:rPr>
        <w:t>implicated</w:t>
      </w:r>
      <w:r>
        <w:rPr>
          <w:rFonts w:ascii="Cambria" w:hAnsi="Cambria"/>
          <w:shd w:val="clear" w:color="auto" w:fill="FFFFFF"/>
        </w:rPr>
        <w:t xml:space="preserve"> a suspect in a crime, their testimony would certainly be closely scrutinized to establish their credibility. By contrast, in the study of political processes, if a </w:t>
      </w:r>
      <w:r w:rsidR="00905D91">
        <w:rPr>
          <w:rFonts w:ascii="Cambria" w:hAnsi="Cambria"/>
          <w:shd w:val="clear" w:color="auto" w:fill="FFFFFF"/>
        </w:rPr>
        <w:t>“</w:t>
      </w:r>
      <w:r>
        <w:rPr>
          <w:rFonts w:ascii="Cambria" w:hAnsi="Cambria"/>
          <w:shd w:val="clear" w:color="auto" w:fill="FFFFFF"/>
        </w:rPr>
        <w:t>suspect</w:t>
      </w:r>
      <w:r w:rsidR="00905D91">
        <w:rPr>
          <w:rFonts w:ascii="Cambria" w:hAnsi="Cambria"/>
          <w:shd w:val="clear" w:color="auto" w:fill="FFFFFF"/>
        </w:rPr>
        <w:t>”</w:t>
      </w:r>
      <w:r>
        <w:rPr>
          <w:rFonts w:ascii="Cambria" w:hAnsi="Cambria"/>
          <w:shd w:val="clear" w:color="auto" w:fill="FFFFFF"/>
        </w:rPr>
        <w:t xml:space="preserve"> who is normally thought to be the “mastermind”</w:t>
      </w:r>
      <w:r w:rsidR="00905D91">
        <w:rPr>
          <w:rFonts w:ascii="Cambria" w:hAnsi="Cambria"/>
          <w:shd w:val="clear" w:color="auto" w:fill="FFFFFF"/>
        </w:rPr>
        <w:t xml:space="preserve"> implicates another suspect</w:t>
      </w:r>
      <w:r w:rsidR="006C5BC8">
        <w:rPr>
          <w:rFonts w:ascii="Cambria" w:hAnsi="Cambria"/>
          <w:shd w:val="clear" w:color="auto" w:fill="FFFFFF"/>
        </w:rPr>
        <w:t xml:space="preserve"> and</w:t>
      </w:r>
      <w:r w:rsidR="00905D91">
        <w:rPr>
          <w:rFonts w:ascii="Cambria" w:hAnsi="Cambria"/>
          <w:shd w:val="clear" w:color="auto" w:fill="FFFFFF"/>
        </w:rPr>
        <w:t>,</w:t>
      </w:r>
      <w:r w:rsidR="006C5BC8">
        <w:rPr>
          <w:rFonts w:ascii="Cambria" w:hAnsi="Cambria"/>
          <w:shd w:val="clear" w:color="auto" w:fill="FFFFFF"/>
        </w:rPr>
        <w:t xml:space="preserve"> </w:t>
      </w:r>
      <w:r w:rsidR="00905D91">
        <w:rPr>
          <w:rFonts w:ascii="Cambria" w:hAnsi="Cambria"/>
          <w:shd w:val="clear" w:color="auto" w:fill="FFFFFF"/>
        </w:rPr>
        <w:t>even more so,</w:t>
      </w:r>
      <w:r w:rsidR="006C5BC8">
        <w:rPr>
          <w:rFonts w:ascii="Cambria" w:hAnsi="Cambria"/>
          <w:shd w:val="clear" w:color="auto" w:fill="FFFFFF"/>
        </w:rPr>
        <w:t xml:space="preserve"> if that suspect expresses pride in the policy agenda that has been pursued</w:t>
      </w:r>
      <w:r w:rsidR="00DF2B39">
        <w:rPr>
          <w:rFonts w:ascii="Cambria" w:hAnsi="Cambria"/>
          <w:shd w:val="clear" w:color="auto" w:fill="FFFFFF"/>
        </w:rPr>
        <w:t xml:space="preserve"> (regardless of whether they can claim credit for it or not)</w:t>
      </w:r>
      <w:r w:rsidR="006C5BC8">
        <w:rPr>
          <w:rFonts w:ascii="Cambria" w:hAnsi="Cambria"/>
          <w:shd w:val="clear" w:color="auto" w:fill="FFFFFF"/>
        </w:rPr>
        <w:t>,</w:t>
      </w:r>
      <w:r w:rsidR="00DF2B39">
        <w:rPr>
          <w:rFonts w:ascii="Cambria" w:hAnsi="Cambria"/>
          <w:shd w:val="clear" w:color="auto" w:fill="FFFFFF"/>
        </w:rPr>
        <w:t xml:space="preserve"> their implicating another actor</w:t>
      </w:r>
      <w:r w:rsidR="00B8512B">
        <w:rPr>
          <w:rFonts w:ascii="Cambria" w:hAnsi="Cambria"/>
          <w:shd w:val="clear" w:color="auto" w:fill="FFFFFF"/>
        </w:rPr>
        <w:t xml:space="preserve"> in their being mobilized into action</w:t>
      </w:r>
      <w:r w:rsidR="00DF2B39">
        <w:rPr>
          <w:rFonts w:ascii="Cambria" w:hAnsi="Cambria"/>
          <w:shd w:val="clear" w:color="auto" w:fill="FFFFFF"/>
        </w:rPr>
        <w:t xml:space="preserve"> should be considered more credible. </w:t>
      </w:r>
      <w:r w:rsidR="009F418E">
        <w:rPr>
          <w:rFonts w:ascii="Cambria" w:hAnsi="Cambria"/>
          <w:shd w:val="clear" w:color="auto" w:fill="FFFFFF"/>
        </w:rPr>
        <w:t xml:space="preserve">Therefore, if </w:t>
      </w:r>
      <w:r w:rsidR="00BF0FD5">
        <w:rPr>
          <w:rFonts w:ascii="Cambria" w:hAnsi="Cambria"/>
          <w:shd w:val="clear" w:color="auto" w:fill="FFFFFF"/>
        </w:rPr>
        <w:t xml:space="preserve">- in an interview or document – </w:t>
      </w:r>
      <w:r w:rsidR="009F418E">
        <w:rPr>
          <w:rFonts w:ascii="Cambria" w:hAnsi="Cambria"/>
          <w:shd w:val="clear" w:color="auto" w:fill="FFFFFF"/>
        </w:rPr>
        <w:t>a senior member of government (or of a pre-existing development institution) at the time of some important institutional change</w:t>
      </w:r>
      <w:r w:rsidR="00BF0FD5">
        <w:rPr>
          <w:rFonts w:ascii="Cambria" w:hAnsi="Cambria"/>
          <w:shd w:val="clear" w:color="auto" w:fill="FFFFFF"/>
        </w:rPr>
        <w:t xml:space="preserve"> claimed that some institution</w:t>
      </w:r>
      <w:r w:rsidR="001E7E71">
        <w:rPr>
          <w:rFonts w:ascii="Cambria" w:hAnsi="Cambria"/>
          <w:shd w:val="clear" w:color="auto" w:fill="FFFFFF"/>
        </w:rPr>
        <w:t xml:space="preserve">al change was initiated by – or was </w:t>
      </w:r>
      <w:r w:rsidR="00BF0FD5">
        <w:rPr>
          <w:rFonts w:ascii="Cambria" w:hAnsi="Cambria"/>
          <w:shd w:val="clear" w:color="auto" w:fill="FFFFFF"/>
        </w:rPr>
        <w:t xml:space="preserve">the doing of – a representative of the comprador banker group, I would consider this as passing a smoking gun test </w:t>
      </w:r>
      <w:bookmarkStart w:id="4" w:name="_GoBack"/>
      <w:bookmarkEnd w:id="4"/>
      <w:r w:rsidR="00BF0FD5">
        <w:rPr>
          <w:rFonts w:ascii="Cambria" w:hAnsi="Cambria"/>
          <w:shd w:val="clear" w:color="auto" w:fill="FFFFFF"/>
        </w:rPr>
        <w:t>on the hypothesis that comprador bankers coopted state actors into the revival of developmentalism.</w:t>
      </w:r>
    </w:p>
    <w:p w14:paraId="7EA9EC95" w14:textId="77777777" w:rsidR="00BF0FD5" w:rsidRDefault="00BF0FD5" w:rsidP="00FB4709">
      <w:pPr>
        <w:jc w:val="both"/>
        <w:rPr>
          <w:rFonts w:ascii="Cambria" w:hAnsi="Cambria"/>
          <w:shd w:val="clear" w:color="auto" w:fill="FFFFFF"/>
        </w:rPr>
      </w:pPr>
    </w:p>
    <w:p w14:paraId="57E5FAC0" w14:textId="7312DB2C" w:rsidR="00BF0FD5" w:rsidRPr="00F9158C" w:rsidRDefault="00BF0FD5" w:rsidP="00FB4709">
      <w:pPr>
        <w:jc w:val="both"/>
        <w:rPr>
          <w:rFonts w:ascii="Cambria" w:hAnsi="Cambria"/>
          <w:shd w:val="clear" w:color="auto" w:fill="FFFFFF"/>
        </w:rPr>
      </w:pPr>
      <w:r>
        <w:rPr>
          <w:rFonts w:ascii="Cambria" w:hAnsi="Cambria"/>
          <w:shd w:val="clear" w:color="auto" w:fill="FFFFFF"/>
        </w:rPr>
        <w:t xml:space="preserve">Finally, </w:t>
      </w:r>
      <w:r w:rsidR="00AB0E8B">
        <w:rPr>
          <w:rFonts w:ascii="Cambria" w:hAnsi="Cambria"/>
          <w:shd w:val="clear" w:color="auto" w:fill="FFFFFF"/>
        </w:rPr>
        <w:t xml:space="preserve">given </w:t>
      </w:r>
      <w:r w:rsidR="00863EC3">
        <w:rPr>
          <w:rFonts w:ascii="Cambria" w:hAnsi="Cambria"/>
          <w:shd w:val="clear" w:color="auto" w:fill="FFFFFF"/>
        </w:rPr>
        <w:t xml:space="preserve">my own – and I would assume my readers’ </w:t>
      </w:r>
      <w:r w:rsidR="00F55659">
        <w:rPr>
          <w:rFonts w:ascii="Cambria" w:hAnsi="Cambria"/>
          <w:shd w:val="clear" w:color="auto" w:fill="FFFFFF"/>
        </w:rPr>
        <w:t>–</w:t>
      </w:r>
      <w:r w:rsidR="00863EC3">
        <w:rPr>
          <w:rFonts w:ascii="Cambria" w:hAnsi="Cambria"/>
          <w:shd w:val="clear" w:color="auto" w:fill="FFFFFF"/>
        </w:rPr>
        <w:t xml:space="preserve"> low prior on my theorized causal mechanism regarding comprador bankers’ mobilization, </w:t>
      </w:r>
      <w:r w:rsidR="00F55659">
        <w:rPr>
          <w:rFonts w:ascii="Cambria" w:hAnsi="Cambria"/>
          <w:shd w:val="clear" w:color="auto" w:fill="FFFFFF"/>
        </w:rPr>
        <w:t xml:space="preserve">I </w:t>
      </w:r>
      <w:r w:rsidR="00343773">
        <w:rPr>
          <w:rFonts w:ascii="Cambria" w:hAnsi="Cambria"/>
          <w:shd w:val="clear" w:color="auto" w:fill="FFFFFF"/>
        </w:rPr>
        <w:t>have also prepared Appendix A.9</w:t>
      </w:r>
      <w:r w:rsidR="00F55659">
        <w:rPr>
          <w:rFonts w:ascii="Cambria" w:hAnsi="Cambria"/>
          <w:shd w:val="clear" w:color="auto" w:fill="FFFFFF"/>
        </w:rPr>
        <w:t xml:space="preserve"> where I list much additional evidence on the factors triggering their preference change after the GFC. </w:t>
      </w:r>
      <w:r w:rsidR="00863EC3">
        <w:rPr>
          <w:rFonts w:ascii="Cambria" w:hAnsi="Cambria"/>
          <w:shd w:val="clear" w:color="auto" w:fill="FFFFFF"/>
        </w:rPr>
        <w:t xml:space="preserve"> </w:t>
      </w:r>
    </w:p>
    <w:p w14:paraId="5D89F9D2" w14:textId="33F5D938" w:rsidR="001C1FB5" w:rsidRPr="00025F8B" w:rsidRDefault="001C1FB5" w:rsidP="00353289">
      <w:pPr>
        <w:rPr>
          <w:rFonts w:ascii="Cambria" w:eastAsia="Times New Roman" w:hAnsi="Cambria" w:cs="Times New Roman"/>
        </w:rPr>
      </w:pPr>
    </w:p>
    <w:p w14:paraId="1B666FA5" w14:textId="77777777" w:rsidR="00671138" w:rsidRPr="00025F8B" w:rsidRDefault="00671138">
      <w:pPr>
        <w:rPr>
          <w:rFonts w:ascii="Cambria" w:hAnsi="Cambria"/>
          <w:b/>
        </w:rPr>
      </w:pPr>
    </w:p>
    <w:p w14:paraId="19B8CD30" w14:textId="77777777" w:rsidR="002446E7" w:rsidRPr="00025F8B" w:rsidRDefault="002446E7">
      <w:pPr>
        <w:rPr>
          <w:rFonts w:ascii="Cambria" w:hAnsi="Cambria"/>
          <w:b/>
        </w:rPr>
      </w:pPr>
      <w:r w:rsidRPr="00025F8B">
        <w:rPr>
          <w:rFonts w:ascii="Cambria" w:hAnsi="Cambria"/>
          <w:b/>
        </w:rPr>
        <w:br w:type="page"/>
      </w:r>
    </w:p>
    <w:p w14:paraId="606EC23B" w14:textId="6A049084" w:rsidR="00E31E33" w:rsidRPr="00025F8B" w:rsidRDefault="00E31E33" w:rsidP="00E31E33">
      <w:pPr>
        <w:pStyle w:val="Heading1"/>
        <w:rPr>
          <w:rFonts w:ascii="Cambria" w:hAnsi="Cambria"/>
          <w:color w:val="auto"/>
          <w:sz w:val="24"/>
          <w:szCs w:val="24"/>
        </w:rPr>
      </w:pPr>
      <w:bookmarkStart w:id="5" w:name="_Toc470355600"/>
      <w:r w:rsidRPr="00025F8B">
        <w:rPr>
          <w:rFonts w:ascii="Cambria" w:hAnsi="Cambria"/>
          <w:color w:val="auto"/>
          <w:sz w:val="24"/>
          <w:szCs w:val="24"/>
        </w:rPr>
        <w:t>References</w:t>
      </w:r>
      <w:bookmarkEnd w:id="5"/>
    </w:p>
    <w:p w14:paraId="2CAD2D19" w14:textId="77777777" w:rsidR="00215737" w:rsidRPr="00025F8B" w:rsidRDefault="00215737" w:rsidP="00C745FA">
      <w:pPr>
        <w:rPr>
          <w:rFonts w:ascii="Cambria" w:hAnsi="Cambria"/>
        </w:rPr>
      </w:pPr>
    </w:p>
    <w:p w14:paraId="56762B5D" w14:textId="117C2129" w:rsidR="00F8106A" w:rsidRPr="00025F8B" w:rsidRDefault="00F8106A" w:rsidP="00FB4709">
      <w:pPr>
        <w:spacing w:after="120"/>
        <w:ind w:left="720" w:hanging="720"/>
        <w:jc w:val="both"/>
        <w:rPr>
          <w:rFonts w:ascii="Cambria" w:hAnsi="Cambria"/>
        </w:rPr>
      </w:pPr>
      <w:r w:rsidRPr="00025F8B">
        <w:rPr>
          <w:rFonts w:ascii="Cambria" w:hAnsi="Cambria"/>
        </w:rPr>
        <w:t xml:space="preserve">Beach, D., &amp; Pedersen, R. B. (2019). </w:t>
      </w:r>
      <w:r w:rsidRPr="00025F8B">
        <w:rPr>
          <w:rFonts w:ascii="Cambria" w:hAnsi="Cambria"/>
          <w:i/>
          <w:iCs/>
        </w:rPr>
        <w:t>Process-Tracing Methods: Foundations and Guidelines</w:t>
      </w:r>
      <w:r w:rsidRPr="00025F8B">
        <w:rPr>
          <w:rFonts w:ascii="Cambria" w:hAnsi="Cambria"/>
        </w:rPr>
        <w:t>. Ann Arbor, MI: University of Michigan Press (2</w:t>
      </w:r>
      <w:r w:rsidRPr="00025F8B">
        <w:rPr>
          <w:rFonts w:ascii="Cambria" w:hAnsi="Cambria"/>
          <w:vertAlign w:val="superscript"/>
        </w:rPr>
        <w:t>nd</w:t>
      </w:r>
      <w:r w:rsidRPr="00025F8B">
        <w:rPr>
          <w:rFonts w:ascii="Cambria" w:hAnsi="Cambria"/>
        </w:rPr>
        <w:t xml:space="preserve"> ed.).</w:t>
      </w:r>
    </w:p>
    <w:p w14:paraId="16F9E0F6" w14:textId="41361EDA" w:rsidR="00650B4F" w:rsidRPr="00025F8B" w:rsidRDefault="00650B4F" w:rsidP="00FB4709">
      <w:pPr>
        <w:spacing w:after="120"/>
        <w:ind w:left="720" w:hanging="720"/>
        <w:jc w:val="both"/>
        <w:rPr>
          <w:rFonts w:ascii="Cambria" w:hAnsi="Cambria"/>
        </w:rPr>
      </w:pPr>
      <w:r w:rsidRPr="00025F8B">
        <w:rPr>
          <w:rFonts w:ascii="Cambria" w:hAnsi="Cambria"/>
        </w:rPr>
        <w:t xml:space="preserve">Bennett, A. (2008). Process tracing: A Bayesian perspective. In J. M. Box-Steffensmeier, H. E. Brady, &amp; D. Collier (Eds.). </w:t>
      </w:r>
      <w:r w:rsidRPr="00025F8B">
        <w:rPr>
          <w:rFonts w:ascii="Cambria" w:hAnsi="Cambria"/>
          <w:i/>
          <w:iCs/>
        </w:rPr>
        <w:t>The Oxford Handbook of Political Methodology</w:t>
      </w:r>
      <w:r w:rsidRPr="00025F8B">
        <w:rPr>
          <w:rFonts w:ascii="Cambria" w:hAnsi="Cambria"/>
          <w:iCs/>
        </w:rPr>
        <w:t xml:space="preserve"> (</w:t>
      </w:r>
      <w:r w:rsidRPr="00025F8B">
        <w:rPr>
          <w:rFonts w:ascii="Cambria" w:hAnsi="Cambria"/>
        </w:rPr>
        <w:t>pp. 702-721</w:t>
      </w:r>
      <w:r w:rsidRPr="00025F8B">
        <w:rPr>
          <w:rFonts w:ascii="Cambria" w:hAnsi="Cambria"/>
          <w:iCs/>
        </w:rPr>
        <w:t>)</w:t>
      </w:r>
      <w:r w:rsidRPr="00025F8B">
        <w:rPr>
          <w:rFonts w:ascii="Cambria" w:hAnsi="Cambria"/>
        </w:rPr>
        <w:t>. Oxford: Oxford University Press.</w:t>
      </w:r>
    </w:p>
    <w:p w14:paraId="407113A7" w14:textId="4677CFC9" w:rsidR="00844F4D" w:rsidRPr="00025F8B" w:rsidRDefault="00844F4D" w:rsidP="00FB4709">
      <w:pPr>
        <w:spacing w:after="120"/>
        <w:ind w:left="720" w:hanging="720"/>
        <w:jc w:val="both"/>
        <w:rPr>
          <w:rFonts w:ascii="Cambria" w:hAnsi="Cambria"/>
        </w:rPr>
      </w:pPr>
      <w:r w:rsidRPr="00025F8B">
        <w:rPr>
          <w:rFonts w:ascii="Cambria" w:hAnsi="Cambria"/>
        </w:rPr>
        <w:t xml:space="preserve">Bennett, A. (2015). Appendix: Disciplining our conjectures – Systematizing process tracing with Bayesian analysis. In A. Bennett &amp; J.T. Checkel (Eds.) </w:t>
      </w:r>
      <w:r w:rsidRPr="00025F8B">
        <w:rPr>
          <w:rFonts w:ascii="Cambria" w:hAnsi="Cambria"/>
          <w:i/>
        </w:rPr>
        <w:t>Process Tracing: From Metaphor to Analytical Tool</w:t>
      </w:r>
      <w:r w:rsidRPr="00025F8B">
        <w:rPr>
          <w:rFonts w:ascii="Cambria" w:hAnsi="Cambria"/>
        </w:rPr>
        <w:t xml:space="preserve"> (pp. 276-298). Cambridge: Cambridge University Press.</w:t>
      </w:r>
    </w:p>
    <w:p w14:paraId="3DB13EAB" w14:textId="77777777" w:rsidR="00EF4DCB" w:rsidRPr="00025F8B" w:rsidRDefault="00E31E33" w:rsidP="00FB4709">
      <w:pPr>
        <w:spacing w:after="120"/>
        <w:ind w:left="720" w:hanging="720"/>
        <w:jc w:val="both"/>
        <w:rPr>
          <w:rFonts w:ascii="Cambria" w:hAnsi="Cambria"/>
        </w:rPr>
      </w:pPr>
      <w:r w:rsidRPr="00025F8B">
        <w:rPr>
          <w:rFonts w:ascii="Cambria" w:hAnsi="Cambria"/>
        </w:rPr>
        <w:t>Bennett,</w:t>
      </w:r>
      <w:r w:rsidR="00A169E1" w:rsidRPr="00025F8B">
        <w:rPr>
          <w:rFonts w:ascii="Cambria" w:hAnsi="Cambria"/>
        </w:rPr>
        <w:t xml:space="preserve"> A., &amp; Checkel, J. T. (2015). Process tracing: From philosophical roots to best practices. In A. Bennett &amp; J.T. Checkel (Eds.) </w:t>
      </w:r>
      <w:r w:rsidR="00A169E1" w:rsidRPr="00025F8B">
        <w:rPr>
          <w:rFonts w:ascii="Cambria" w:hAnsi="Cambria"/>
          <w:i/>
        </w:rPr>
        <w:t>Process Tracing: From Metaphor to Analytical Tool</w:t>
      </w:r>
      <w:r w:rsidR="00A169E1" w:rsidRPr="00025F8B">
        <w:rPr>
          <w:rFonts w:ascii="Cambria" w:hAnsi="Cambria"/>
        </w:rPr>
        <w:t xml:space="preserve"> (pp. 3-37). Cambridge: Cambridge University Press.</w:t>
      </w:r>
    </w:p>
    <w:p w14:paraId="27A069C9" w14:textId="53BDF23F" w:rsidR="00EF4DCB" w:rsidRPr="00025F8B" w:rsidRDefault="00EF4DCB" w:rsidP="00FB4709">
      <w:pPr>
        <w:spacing w:after="120"/>
        <w:ind w:left="720" w:hanging="720"/>
        <w:jc w:val="both"/>
        <w:rPr>
          <w:rFonts w:ascii="Cambria" w:hAnsi="Cambria"/>
        </w:rPr>
      </w:pPr>
      <w:r w:rsidRPr="00025F8B">
        <w:rPr>
          <w:rFonts w:ascii="Cambria" w:hAnsi="Cambria"/>
          <w:color w:val="000000"/>
        </w:rPr>
        <w:t xml:space="preserve">Boito, A,, &amp; Saad-Filho, A. (2016). State, state institutions, and political power in Brazil. </w:t>
      </w:r>
      <w:r w:rsidRPr="00025F8B">
        <w:rPr>
          <w:rFonts w:ascii="Cambria" w:hAnsi="Cambria"/>
          <w:i/>
          <w:color w:val="000000"/>
        </w:rPr>
        <w:t>Latin American Perspectives</w:t>
      </w:r>
      <w:r w:rsidRPr="00025F8B">
        <w:rPr>
          <w:rFonts w:ascii="Cambria" w:hAnsi="Cambria"/>
          <w:color w:val="000000"/>
        </w:rPr>
        <w:t xml:space="preserve">, </w:t>
      </w:r>
      <w:r w:rsidRPr="00025F8B">
        <w:rPr>
          <w:rFonts w:ascii="Cambria" w:hAnsi="Cambria"/>
          <w:i/>
          <w:color w:val="000000"/>
        </w:rPr>
        <w:t>43</w:t>
      </w:r>
      <w:r w:rsidRPr="00025F8B">
        <w:rPr>
          <w:rFonts w:ascii="Cambria" w:hAnsi="Cambria"/>
          <w:color w:val="000000"/>
        </w:rPr>
        <w:t>(2), 190-206.</w:t>
      </w:r>
    </w:p>
    <w:p w14:paraId="4B9EF83B" w14:textId="4A4F2034" w:rsidR="00621ECD" w:rsidRPr="00025F8B" w:rsidRDefault="00621ECD" w:rsidP="00FB4709">
      <w:pPr>
        <w:spacing w:after="120"/>
        <w:ind w:left="720" w:hanging="720"/>
        <w:jc w:val="both"/>
        <w:rPr>
          <w:rFonts w:ascii="Cambria" w:hAnsi="Cambria"/>
        </w:rPr>
      </w:pPr>
      <w:r w:rsidRPr="00025F8B">
        <w:rPr>
          <w:rFonts w:ascii="Cambria" w:hAnsi="Cambria"/>
        </w:rPr>
        <w:t xml:space="preserve">Bruszt, L., &amp; Karas, D. (2020). Diverging developmental strategies beyond “lead sectors” in the EU’s periphery: The politics of developmental alliances in the Hungarian and Polish dairy sectors. </w:t>
      </w:r>
      <w:r w:rsidRPr="00025F8B">
        <w:rPr>
          <w:rFonts w:ascii="Cambria" w:hAnsi="Cambria"/>
          <w:i/>
        </w:rPr>
        <w:t>Review of International Political Economy</w:t>
      </w:r>
      <w:r w:rsidRPr="00025F8B">
        <w:rPr>
          <w:rFonts w:ascii="Cambria" w:hAnsi="Cambria"/>
        </w:rPr>
        <w:t xml:space="preserve">, </w:t>
      </w:r>
      <w:r w:rsidRPr="00025F8B">
        <w:rPr>
          <w:rFonts w:ascii="Cambria" w:hAnsi="Cambria"/>
          <w:i/>
        </w:rPr>
        <w:t>27</w:t>
      </w:r>
      <w:r w:rsidRPr="00025F8B">
        <w:rPr>
          <w:rFonts w:ascii="Cambria" w:hAnsi="Cambria"/>
        </w:rPr>
        <w:t>(5), 1020-1040.</w:t>
      </w:r>
    </w:p>
    <w:p w14:paraId="2686B2CB" w14:textId="1118F52A" w:rsidR="00DC5E94" w:rsidRPr="00025F8B" w:rsidRDefault="00DC5E94" w:rsidP="00FB4709">
      <w:pPr>
        <w:spacing w:after="120"/>
        <w:ind w:left="720" w:hanging="720"/>
        <w:jc w:val="both"/>
        <w:rPr>
          <w:rFonts w:ascii="Cambria" w:hAnsi="Cambria"/>
        </w:rPr>
      </w:pPr>
      <w:r w:rsidRPr="00025F8B">
        <w:rPr>
          <w:rFonts w:ascii="Cambria" w:hAnsi="Cambria"/>
        </w:rPr>
        <w:t xml:space="preserve">Chiao, V. (2014). Acts and </w:t>
      </w:r>
      <w:r w:rsidRPr="00025F8B">
        <w:rPr>
          <w:rFonts w:ascii="Cambria" w:hAnsi="Cambria"/>
          <w:i/>
        </w:rPr>
        <w:t>actus reus</w:t>
      </w:r>
      <w:r w:rsidRPr="00025F8B">
        <w:rPr>
          <w:rFonts w:ascii="Cambria" w:hAnsi="Cambria"/>
        </w:rPr>
        <w:t xml:space="preserve">. In M. D. Dubber &amp; T. Hörnle (Eds.) </w:t>
      </w:r>
      <w:r w:rsidRPr="00025F8B">
        <w:rPr>
          <w:rFonts w:ascii="Cambria" w:hAnsi="Cambria"/>
          <w:i/>
        </w:rPr>
        <w:t>The Oxford handbook of criminal law</w:t>
      </w:r>
      <w:r w:rsidRPr="00025F8B">
        <w:rPr>
          <w:rFonts w:ascii="Cambria" w:hAnsi="Cambria"/>
        </w:rPr>
        <w:t>. Oxford: Oxford University Press.</w:t>
      </w:r>
    </w:p>
    <w:p w14:paraId="3F9E6F3B" w14:textId="3026746E" w:rsidR="00E22D09" w:rsidRPr="00025F8B" w:rsidRDefault="00E22D09" w:rsidP="00FB4709">
      <w:pPr>
        <w:spacing w:after="120"/>
        <w:ind w:left="720" w:hanging="720"/>
        <w:jc w:val="both"/>
        <w:rPr>
          <w:rFonts w:ascii="Cambria" w:hAnsi="Cambria"/>
        </w:rPr>
      </w:pPr>
      <w:r w:rsidRPr="00025F8B">
        <w:rPr>
          <w:rFonts w:ascii="Cambria" w:hAnsi="Cambria"/>
        </w:rPr>
        <w:t xml:space="preserve">Chiesa, L. E. (2014). Comparative criminal law. In M. D. Dubber &amp; T. Hörnle (Eds.) </w:t>
      </w:r>
      <w:r w:rsidRPr="00025F8B">
        <w:rPr>
          <w:rFonts w:ascii="Cambria" w:hAnsi="Cambria"/>
          <w:i/>
        </w:rPr>
        <w:t>The Oxford handbook of criminal law</w:t>
      </w:r>
      <w:r w:rsidRPr="00025F8B">
        <w:rPr>
          <w:rFonts w:ascii="Cambria" w:hAnsi="Cambria"/>
        </w:rPr>
        <w:t>. Oxford: Oxford University Press.</w:t>
      </w:r>
    </w:p>
    <w:p w14:paraId="31667736" w14:textId="64E67C25" w:rsidR="00650B4F" w:rsidRDefault="00650B4F" w:rsidP="00FB4709">
      <w:pPr>
        <w:spacing w:after="120"/>
        <w:ind w:left="720" w:hanging="720"/>
        <w:jc w:val="both"/>
        <w:rPr>
          <w:rFonts w:ascii="Cambria" w:hAnsi="Cambria"/>
        </w:rPr>
      </w:pPr>
      <w:r w:rsidRPr="00025F8B">
        <w:rPr>
          <w:rFonts w:ascii="Cambria" w:hAnsi="Cambria"/>
        </w:rPr>
        <w:t xml:space="preserve">Collier, D. (2011). Understanding process tracing, </w:t>
      </w:r>
      <w:r w:rsidRPr="00025F8B">
        <w:rPr>
          <w:rFonts w:ascii="Cambria" w:hAnsi="Cambria"/>
          <w:i/>
        </w:rPr>
        <w:t>PS: Political Science &amp; Politics</w:t>
      </w:r>
      <w:r w:rsidRPr="00025F8B">
        <w:rPr>
          <w:rFonts w:ascii="Cambria" w:hAnsi="Cambria"/>
        </w:rPr>
        <w:t xml:space="preserve">, </w:t>
      </w:r>
      <w:r w:rsidRPr="00025F8B">
        <w:rPr>
          <w:rFonts w:ascii="Cambria" w:hAnsi="Cambria"/>
          <w:i/>
        </w:rPr>
        <w:t>44</w:t>
      </w:r>
      <w:r w:rsidRPr="00025F8B">
        <w:rPr>
          <w:rFonts w:ascii="Cambria" w:hAnsi="Cambria"/>
        </w:rPr>
        <w:t>(4), 823-830.</w:t>
      </w:r>
    </w:p>
    <w:p w14:paraId="2141DDEA" w14:textId="7D58F8A9" w:rsidR="009C6E0A" w:rsidRPr="00025F8B" w:rsidRDefault="009C6E0A" w:rsidP="00FB4709">
      <w:pPr>
        <w:spacing w:after="120"/>
        <w:ind w:left="720" w:hanging="720"/>
        <w:jc w:val="both"/>
        <w:rPr>
          <w:rFonts w:ascii="Cambria" w:hAnsi="Cambria"/>
        </w:rPr>
      </w:pPr>
      <w:r>
        <w:rPr>
          <w:rFonts w:ascii="Cambria" w:hAnsi="Cambria"/>
        </w:rPr>
        <w:t xml:space="preserve">Crown Prosecution Service (2020a). The Code for Crown Prosecutors. </w:t>
      </w:r>
      <w:hyperlink r:id="rId10" w:history="1">
        <w:r w:rsidRPr="0038004B">
          <w:rPr>
            <w:rStyle w:val="Hyperlink"/>
            <w:rFonts w:ascii="Cambria" w:hAnsi="Cambria"/>
          </w:rPr>
          <w:t>https://www.cps.gov.uk/publication/code-crown-prosecutors</w:t>
        </w:r>
      </w:hyperlink>
      <w:r>
        <w:rPr>
          <w:rFonts w:ascii="Cambria" w:hAnsi="Cambria"/>
        </w:rPr>
        <w:t xml:space="preserve"> </w:t>
      </w:r>
    </w:p>
    <w:p w14:paraId="71EE5893" w14:textId="1F2831B3" w:rsidR="009C6E0A" w:rsidRPr="00025F8B" w:rsidRDefault="00146F8A" w:rsidP="00FB4709">
      <w:pPr>
        <w:spacing w:after="120"/>
        <w:ind w:left="720" w:hanging="720"/>
        <w:jc w:val="both"/>
        <w:rPr>
          <w:rFonts w:ascii="Cambria" w:hAnsi="Cambria"/>
        </w:rPr>
      </w:pPr>
      <w:r w:rsidRPr="00025F8B">
        <w:rPr>
          <w:rFonts w:ascii="Cambria" w:hAnsi="Cambria"/>
        </w:rPr>
        <w:t>Crown Prosecution Service (2020</w:t>
      </w:r>
      <w:r w:rsidR="009C6E0A">
        <w:rPr>
          <w:rFonts w:ascii="Cambria" w:hAnsi="Cambria"/>
        </w:rPr>
        <w:t>b</w:t>
      </w:r>
      <w:r w:rsidRPr="00025F8B">
        <w:rPr>
          <w:rFonts w:ascii="Cambria" w:hAnsi="Cambria"/>
        </w:rPr>
        <w:t xml:space="preserve">). Homicide: Murder and manslaughter. </w:t>
      </w:r>
      <w:hyperlink r:id="rId11" w:history="1">
        <w:r w:rsidRPr="00025F8B">
          <w:rPr>
            <w:rStyle w:val="Hyperlink"/>
            <w:rFonts w:ascii="Cambria" w:hAnsi="Cambria"/>
          </w:rPr>
          <w:t>https://www.cps.gov.uk/legal-guidance/homicide-murder-and-manslaughter</w:t>
        </w:r>
      </w:hyperlink>
      <w:r w:rsidRPr="00025F8B">
        <w:rPr>
          <w:rFonts w:ascii="Cambria" w:hAnsi="Cambria"/>
        </w:rPr>
        <w:t xml:space="preserve"> </w:t>
      </w:r>
    </w:p>
    <w:p w14:paraId="6475CEFC" w14:textId="16928359" w:rsidR="00276F87" w:rsidRPr="00025F8B" w:rsidRDefault="00276F87" w:rsidP="00FB4709">
      <w:pPr>
        <w:spacing w:after="120"/>
        <w:ind w:left="720" w:hanging="720"/>
        <w:jc w:val="both"/>
        <w:rPr>
          <w:rFonts w:ascii="Cambria" w:hAnsi="Cambria"/>
        </w:rPr>
      </w:pPr>
      <w:r w:rsidRPr="00025F8B">
        <w:rPr>
          <w:rFonts w:ascii="Cambria" w:hAnsi="Cambria"/>
          <w:color w:val="000000"/>
        </w:rPr>
        <w:t xml:space="preserve">Doner, R. F., &amp; Schneider, B. R. (2016). The middle-income trap: More politics than economics. </w:t>
      </w:r>
      <w:r w:rsidRPr="00025F8B">
        <w:rPr>
          <w:rFonts w:ascii="Cambria" w:hAnsi="Cambria"/>
          <w:i/>
          <w:color w:val="000000"/>
        </w:rPr>
        <w:t>World Politics</w:t>
      </w:r>
      <w:r w:rsidRPr="00025F8B">
        <w:rPr>
          <w:rFonts w:ascii="Cambria" w:hAnsi="Cambria"/>
          <w:color w:val="000000"/>
        </w:rPr>
        <w:t xml:space="preserve">, </w:t>
      </w:r>
      <w:r w:rsidRPr="00025F8B">
        <w:rPr>
          <w:rFonts w:ascii="Cambria" w:hAnsi="Cambria"/>
          <w:i/>
          <w:color w:val="000000"/>
        </w:rPr>
        <w:t>68</w:t>
      </w:r>
      <w:r w:rsidRPr="00025F8B">
        <w:rPr>
          <w:rFonts w:ascii="Cambria" w:hAnsi="Cambria"/>
          <w:color w:val="000000"/>
        </w:rPr>
        <w:t>(4), 608-644.</w:t>
      </w:r>
    </w:p>
    <w:p w14:paraId="5906FB92" w14:textId="46171D1B" w:rsidR="00F979BA" w:rsidRPr="00025F8B" w:rsidRDefault="00F979BA" w:rsidP="00FB4709">
      <w:pPr>
        <w:spacing w:after="120"/>
        <w:ind w:left="720" w:hanging="720"/>
        <w:jc w:val="both"/>
        <w:rPr>
          <w:rFonts w:ascii="Cambria" w:hAnsi="Cambria"/>
        </w:rPr>
      </w:pPr>
      <w:r w:rsidRPr="00025F8B">
        <w:rPr>
          <w:rFonts w:ascii="Cambria" w:hAnsi="Cambria"/>
        </w:rPr>
        <w:t xml:space="preserve">Fairfield, T. (2013). Going where the money is: Strategies for taxing economic elites in unequal democracies. </w:t>
      </w:r>
      <w:r w:rsidRPr="00025F8B">
        <w:rPr>
          <w:rFonts w:ascii="Cambria" w:hAnsi="Cambria"/>
          <w:i/>
        </w:rPr>
        <w:t>World Development</w:t>
      </w:r>
      <w:r w:rsidRPr="00025F8B">
        <w:rPr>
          <w:rFonts w:ascii="Cambria" w:hAnsi="Cambria"/>
        </w:rPr>
        <w:t xml:space="preserve">, </w:t>
      </w:r>
      <w:r w:rsidRPr="00025F8B">
        <w:rPr>
          <w:rFonts w:ascii="Cambria" w:hAnsi="Cambria"/>
          <w:i/>
        </w:rPr>
        <w:t>47</w:t>
      </w:r>
      <w:r w:rsidRPr="00025F8B">
        <w:rPr>
          <w:rFonts w:ascii="Cambria" w:hAnsi="Cambria"/>
        </w:rPr>
        <w:t>(July), 42-57.</w:t>
      </w:r>
    </w:p>
    <w:p w14:paraId="567CA63B" w14:textId="0702007A" w:rsidR="00E755DE" w:rsidRPr="00025F8B" w:rsidRDefault="00E755DE" w:rsidP="00FB4709">
      <w:pPr>
        <w:spacing w:after="120"/>
        <w:ind w:left="720" w:hanging="720"/>
        <w:jc w:val="both"/>
        <w:rPr>
          <w:rFonts w:ascii="Cambria" w:hAnsi="Cambria"/>
        </w:rPr>
      </w:pPr>
      <w:r w:rsidRPr="00025F8B">
        <w:rPr>
          <w:rFonts w:ascii="Cambria" w:hAnsi="Cambria"/>
        </w:rPr>
        <w:t xml:space="preserve">Fairfield, T. &amp; Charman, A. E. (2017). Explicity Bayesian analysis for process tracing: Guidelines, opportunities, and caveats. </w:t>
      </w:r>
      <w:r w:rsidRPr="00025F8B">
        <w:rPr>
          <w:rFonts w:ascii="Cambria" w:hAnsi="Cambria"/>
          <w:i/>
        </w:rPr>
        <w:t>Political Analysis</w:t>
      </w:r>
      <w:r w:rsidRPr="00025F8B">
        <w:rPr>
          <w:rFonts w:ascii="Cambria" w:hAnsi="Cambria"/>
        </w:rPr>
        <w:t>, 25(3), 263-280.</w:t>
      </w:r>
    </w:p>
    <w:p w14:paraId="0E40A450" w14:textId="74218C7A" w:rsidR="00650B4F" w:rsidRPr="00025F8B" w:rsidRDefault="00650B4F" w:rsidP="00FB4709">
      <w:pPr>
        <w:spacing w:after="120"/>
        <w:ind w:left="720" w:hanging="720"/>
        <w:jc w:val="both"/>
        <w:rPr>
          <w:rFonts w:ascii="Cambria" w:hAnsi="Cambria"/>
        </w:rPr>
      </w:pPr>
      <w:r w:rsidRPr="00025F8B">
        <w:rPr>
          <w:rFonts w:ascii="Cambria" w:hAnsi="Cambria"/>
        </w:rPr>
        <w:t xml:space="preserve">Fairfield, T. &amp; Charman, A. E. (2019). A dialogue with the data: The Bayesian foundations of iterative research in qualitative social science, </w:t>
      </w:r>
      <w:r w:rsidRPr="00025F8B">
        <w:rPr>
          <w:rFonts w:ascii="Cambria" w:hAnsi="Cambria"/>
          <w:i/>
        </w:rPr>
        <w:t>Perspective on Politics</w:t>
      </w:r>
      <w:r w:rsidRPr="00025F8B">
        <w:rPr>
          <w:rFonts w:ascii="Cambria" w:hAnsi="Cambria"/>
        </w:rPr>
        <w:t xml:space="preserve">, </w:t>
      </w:r>
      <w:r w:rsidRPr="00025F8B">
        <w:rPr>
          <w:rFonts w:ascii="Cambria" w:hAnsi="Cambria"/>
          <w:i/>
        </w:rPr>
        <w:t>17</w:t>
      </w:r>
      <w:r w:rsidRPr="00025F8B">
        <w:rPr>
          <w:rFonts w:ascii="Cambria" w:hAnsi="Cambria"/>
        </w:rPr>
        <w:t>(1), 154-167.</w:t>
      </w:r>
    </w:p>
    <w:p w14:paraId="46936070" w14:textId="55AD8979" w:rsidR="008903BD" w:rsidRPr="00025F8B" w:rsidRDefault="008903BD" w:rsidP="00FB4709">
      <w:pPr>
        <w:spacing w:after="120"/>
        <w:ind w:left="720" w:hanging="720"/>
        <w:jc w:val="both"/>
        <w:rPr>
          <w:rFonts w:ascii="Cambria" w:hAnsi="Cambria"/>
        </w:rPr>
      </w:pPr>
      <w:r w:rsidRPr="00025F8B">
        <w:rPr>
          <w:rFonts w:ascii="Cambria" w:hAnsi="Cambria"/>
        </w:rPr>
        <w:t xml:space="preserve">Horder, J. (2019). </w:t>
      </w:r>
      <w:r w:rsidRPr="00025F8B">
        <w:rPr>
          <w:rFonts w:ascii="Cambria" w:hAnsi="Cambria"/>
          <w:i/>
        </w:rPr>
        <w:t>Ashworth’s principles of criminal law</w:t>
      </w:r>
      <w:r w:rsidRPr="00025F8B">
        <w:rPr>
          <w:rFonts w:ascii="Cambria" w:hAnsi="Cambria"/>
        </w:rPr>
        <w:t>. Oxford: Oxford University Press.</w:t>
      </w:r>
    </w:p>
    <w:p w14:paraId="49C00D86" w14:textId="373F57DE" w:rsidR="005802C0" w:rsidRPr="00025F8B" w:rsidRDefault="005802C0" w:rsidP="00FB4709">
      <w:pPr>
        <w:spacing w:after="120"/>
        <w:ind w:left="720" w:hanging="720"/>
        <w:jc w:val="both"/>
        <w:rPr>
          <w:rFonts w:ascii="Cambria" w:hAnsi="Cambria"/>
        </w:rPr>
      </w:pPr>
      <w:r w:rsidRPr="00025F8B">
        <w:rPr>
          <w:rFonts w:ascii="Cambria" w:hAnsi="Cambria"/>
        </w:rPr>
        <w:t>Mahoney, J. (2010). After KKV: The new methodology of qualitative research.</w:t>
      </w:r>
      <w:r w:rsidRPr="00025F8B">
        <w:rPr>
          <w:rFonts w:ascii="Cambria" w:hAnsi="Cambria"/>
          <w:i/>
          <w:iCs/>
        </w:rPr>
        <w:t xml:space="preserve"> World Politics</w:t>
      </w:r>
      <w:r w:rsidRPr="00025F8B">
        <w:rPr>
          <w:rFonts w:ascii="Cambria" w:hAnsi="Cambria"/>
        </w:rPr>
        <w:t xml:space="preserve">, </w:t>
      </w:r>
      <w:r w:rsidRPr="00025F8B">
        <w:rPr>
          <w:rFonts w:ascii="Cambria" w:hAnsi="Cambria"/>
          <w:i/>
        </w:rPr>
        <w:t>62</w:t>
      </w:r>
      <w:r w:rsidRPr="00025F8B">
        <w:rPr>
          <w:rFonts w:ascii="Cambria" w:hAnsi="Cambria"/>
        </w:rPr>
        <w:t>(1), 120-47.</w:t>
      </w:r>
    </w:p>
    <w:p w14:paraId="7CBF29FD" w14:textId="77777777" w:rsidR="00621ECD" w:rsidRPr="00025F8B" w:rsidRDefault="00650B4F" w:rsidP="00FB4709">
      <w:pPr>
        <w:spacing w:after="120"/>
        <w:ind w:left="720" w:hanging="720"/>
        <w:jc w:val="both"/>
        <w:rPr>
          <w:rFonts w:ascii="Cambria" w:hAnsi="Cambria"/>
        </w:rPr>
      </w:pPr>
      <w:r w:rsidRPr="00025F8B">
        <w:rPr>
          <w:rFonts w:ascii="Cambria" w:hAnsi="Cambria"/>
        </w:rPr>
        <w:t xml:space="preserve">Mahoney, J. (2012) The logic of process tracing tests in the social sciences, </w:t>
      </w:r>
      <w:r w:rsidRPr="00025F8B">
        <w:rPr>
          <w:rFonts w:ascii="Cambria" w:hAnsi="Cambria"/>
          <w:i/>
        </w:rPr>
        <w:t>Sociological Methods &amp; Research</w:t>
      </w:r>
      <w:r w:rsidRPr="00025F8B">
        <w:rPr>
          <w:rFonts w:ascii="Cambria" w:hAnsi="Cambria"/>
        </w:rPr>
        <w:t xml:space="preserve">, </w:t>
      </w:r>
      <w:r w:rsidRPr="00025F8B">
        <w:rPr>
          <w:rFonts w:ascii="Cambria" w:hAnsi="Cambria"/>
          <w:i/>
        </w:rPr>
        <w:t>41</w:t>
      </w:r>
      <w:r w:rsidRPr="00025F8B">
        <w:rPr>
          <w:rFonts w:ascii="Cambria" w:hAnsi="Cambria"/>
        </w:rPr>
        <w:t>(4), 570-597.</w:t>
      </w:r>
    </w:p>
    <w:p w14:paraId="29617046" w14:textId="77777777" w:rsidR="00621ECD" w:rsidRPr="00025F8B" w:rsidRDefault="00621ECD" w:rsidP="00FB4709">
      <w:pPr>
        <w:spacing w:after="120"/>
        <w:ind w:left="720" w:hanging="720"/>
        <w:jc w:val="both"/>
        <w:rPr>
          <w:rFonts w:ascii="Cambria" w:hAnsi="Cambria"/>
        </w:rPr>
      </w:pPr>
      <w:r w:rsidRPr="00025F8B">
        <w:rPr>
          <w:rFonts w:ascii="Cambria" w:hAnsi="Cambria"/>
          <w:shd w:val="clear" w:color="auto" w:fill="FFFFFF"/>
        </w:rPr>
        <w:t xml:space="preserve">Markiewicz, O. (2020). Stuck in second gear? EU integration and the evolution of Poland’s automotive industry. </w:t>
      </w:r>
      <w:r w:rsidRPr="00025F8B">
        <w:rPr>
          <w:rFonts w:ascii="Cambria" w:hAnsi="Cambria"/>
          <w:i/>
        </w:rPr>
        <w:t>Review of International Political Economy</w:t>
      </w:r>
      <w:r w:rsidRPr="00025F8B">
        <w:rPr>
          <w:rFonts w:ascii="Cambria" w:hAnsi="Cambria"/>
        </w:rPr>
        <w:t xml:space="preserve">, </w:t>
      </w:r>
      <w:r w:rsidRPr="00025F8B">
        <w:rPr>
          <w:rFonts w:ascii="Cambria" w:hAnsi="Cambria"/>
          <w:i/>
        </w:rPr>
        <w:t>27</w:t>
      </w:r>
      <w:r w:rsidRPr="00025F8B">
        <w:rPr>
          <w:rFonts w:ascii="Cambria" w:hAnsi="Cambria"/>
        </w:rPr>
        <w:t>(5), 1147-1169.</w:t>
      </w:r>
    </w:p>
    <w:p w14:paraId="5B7D4A9B" w14:textId="61D4AE4F" w:rsidR="00234633" w:rsidRPr="00025F8B" w:rsidRDefault="00234633" w:rsidP="00FB4709">
      <w:pPr>
        <w:spacing w:after="120"/>
        <w:ind w:left="720" w:hanging="720"/>
        <w:jc w:val="both"/>
        <w:rPr>
          <w:rFonts w:ascii="Cambria" w:hAnsi="Cambria"/>
        </w:rPr>
      </w:pPr>
      <w:r w:rsidRPr="00025F8B">
        <w:rPr>
          <w:rFonts w:ascii="Cambria" w:hAnsi="Cambria"/>
        </w:rPr>
        <w:t>Ma</w:t>
      </w:r>
      <w:r w:rsidR="00EE7734">
        <w:rPr>
          <w:rFonts w:ascii="Cambria" w:hAnsi="Cambria"/>
        </w:rPr>
        <w:t>r</w:t>
      </w:r>
      <w:r w:rsidRPr="00025F8B">
        <w:rPr>
          <w:rFonts w:ascii="Cambria" w:hAnsi="Cambria"/>
        </w:rPr>
        <w:t xml:space="preserve">tin, C.J., &amp; Swank, D. (2013). </w:t>
      </w:r>
      <w:r w:rsidR="004E0976" w:rsidRPr="00025F8B">
        <w:rPr>
          <w:rFonts w:ascii="Cambria" w:hAnsi="Cambria"/>
          <w:i/>
        </w:rPr>
        <w:t>The political construction of business interests: Coordination, growth, and equality</w:t>
      </w:r>
      <w:r w:rsidR="004E0976" w:rsidRPr="00025F8B">
        <w:rPr>
          <w:rFonts w:ascii="Cambria" w:hAnsi="Cambria"/>
        </w:rPr>
        <w:t>. New York, NY: Cambridge University Press.</w:t>
      </w:r>
    </w:p>
    <w:p w14:paraId="45BD6DC9" w14:textId="77777777" w:rsidR="00F347EF" w:rsidRPr="00025F8B" w:rsidRDefault="00621ECD" w:rsidP="00FB4709">
      <w:pPr>
        <w:spacing w:after="120"/>
        <w:ind w:left="720" w:hanging="720"/>
        <w:jc w:val="both"/>
        <w:rPr>
          <w:rFonts w:ascii="Cambria" w:hAnsi="Cambria"/>
        </w:rPr>
      </w:pPr>
      <w:r w:rsidRPr="00025F8B">
        <w:rPr>
          <w:rFonts w:ascii="Cambria" w:hAnsi="Cambria"/>
        </w:rPr>
        <w:t xml:space="preserve">Medve-Bálint, G., &amp; Šćepanović, V. (2020). EU funds, state capacity and the development of transnational industrial policies in Europe’s Eastern periphery. </w:t>
      </w:r>
      <w:r w:rsidRPr="00025F8B">
        <w:rPr>
          <w:rFonts w:ascii="Cambria" w:hAnsi="Cambria"/>
          <w:i/>
        </w:rPr>
        <w:t>Review of International Political Economy</w:t>
      </w:r>
      <w:r w:rsidRPr="00025F8B">
        <w:rPr>
          <w:rFonts w:ascii="Cambria" w:hAnsi="Cambria"/>
        </w:rPr>
        <w:t xml:space="preserve">, </w:t>
      </w:r>
      <w:r w:rsidRPr="00025F8B">
        <w:rPr>
          <w:rFonts w:ascii="Cambria" w:hAnsi="Cambria"/>
          <w:i/>
        </w:rPr>
        <w:t>27</w:t>
      </w:r>
      <w:r w:rsidRPr="00025F8B">
        <w:rPr>
          <w:rFonts w:ascii="Cambria" w:hAnsi="Cambria"/>
        </w:rPr>
        <w:t>(5), 1063-1082.</w:t>
      </w:r>
    </w:p>
    <w:p w14:paraId="15062BF9" w14:textId="77777777" w:rsidR="00F347EF" w:rsidRPr="00025F8B" w:rsidRDefault="00F347EF" w:rsidP="00FB4709">
      <w:pPr>
        <w:spacing w:after="120"/>
        <w:ind w:left="720" w:hanging="720"/>
        <w:jc w:val="both"/>
        <w:rPr>
          <w:rFonts w:ascii="Cambria" w:hAnsi="Cambria"/>
        </w:rPr>
      </w:pPr>
      <w:r w:rsidRPr="00025F8B">
        <w:rPr>
          <w:rFonts w:ascii="Cambria" w:hAnsi="Cambria"/>
        </w:rPr>
        <w:t xml:space="preserve">Mertens, D., &amp; Thiemann, M. (2019). Building a hidden investment state? The European Investment Bank, national development banks and European economic governance. </w:t>
      </w:r>
      <w:r w:rsidRPr="00025F8B">
        <w:rPr>
          <w:rFonts w:ascii="Cambria" w:hAnsi="Cambria"/>
          <w:i/>
        </w:rPr>
        <w:t>Journal of European Public Policy</w:t>
      </w:r>
      <w:r w:rsidRPr="00025F8B">
        <w:rPr>
          <w:rFonts w:ascii="Cambria" w:hAnsi="Cambria"/>
        </w:rPr>
        <w:t xml:space="preserve">, </w:t>
      </w:r>
      <w:r w:rsidRPr="00025F8B">
        <w:rPr>
          <w:rFonts w:ascii="Cambria" w:hAnsi="Cambria"/>
          <w:i/>
        </w:rPr>
        <w:t>26</w:t>
      </w:r>
      <w:r w:rsidRPr="00025F8B">
        <w:rPr>
          <w:rFonts w:ascii="Cambria" w:hAnsi="Cambria"/>
        </w:rPr>
        <w:t>(1), 23-43.</w:t>
      </w:r>
    </w:p>
    <w:p w14:paraId="43BC9F13" w14:textId="001852F0" w:rsidR="00F347EF" w:rsidRPr="00025F8B" w:rsidRDefault="00F347EF" w:rsidP="00FB4709">
      <w:pPr>
        <w:spacing w:after="120"/>
        <w:ind w:left="720" w:hanging="720"/>
        <w:jc w:val="both"/>
        <w:rPr>
          <w:rFonts w:ascii="Cambria" w:hAnsi="Cambria"/>
        </w:rPr>
      </w:pPr>
      <w:r w:rsidRPr="00025F8B">
        <w:rPr>
          <w:rFonts w:ascii="Cambria" w:hAnsi="Cambria"/>
        </w:rPr>
        <w:t xml:space="preserve">Mertens, D., Thiemann, M., &amp; Volberding, P. (Eds.) (2020). </w:t>
      </w:r>
      <w:r w:rsidRPr="00025F8B">
        <w:rPr>
          <w:rFonts w:ascii="Cambria" w:hAnsi="Cambria"/>
          <w:i/>
        </w:rPr>
        <w:t>The reinvention of development banking in the European Union: Industrial policy in the single market and the emergence of a field</w:t>
      </w:r>
      <w:r w:rsidRPr="00025F8B">
        <w:rPr>
          <w:rFonts w:ascii="Cambria" w:hAnsi="Cambria"/>
        </w:rPr>
        <w:t>. Oxford: Oxford University Press.</w:t>
      </w:r>
    </w:p>
    <w:p w14:paraId="78772847" w14:textId="7D4F1FEA" w:rsidR="0091548D" w:rsidRPr="00025F8B" w:rsidRDefault="0091548D" w:rsidP="00FB4709">
      <w:pPr>
        <w:spacing w:after="120"/>
        <w:ind w:left="720" w:hanging="720"/>
        <w:jc w:val="both"/>
        <w:rPr>
          <w:rFonts w:ascii="Cambria" w:hAnsi="Cambria"/>
        </w:rPr>
      </w:pPr>
      <w:r w:rsidRPr="00025F8B">
        <w:rPr>
          <w:rFonts w:ascii="Cambria" w:hAnsi="Cambria"/>
        </w:rPr>
        <w:t xml:space="preserve">Meyer-Sahling, J.-H., &amp; Veen, T. (2012). Governing the post-communist state: Alternation and senior civil service politicisation in Central and Eastern Europe. </w:t>
      </w:r>
      <w:r w:rsidR="007224C2" w:rsidRPr="00025F8B">
        <w:rPr>
          <w:rFonts w:ascii="Cambria" w:hAnsi="Cambria"/>
          <w:i/>
        </w:rPr>
        <w:t>East European Politics</w:t>
      </w:r>
      <w:r w:rsidR="007224C2" w:rsidRPr="00025F8B">
        <w:rPr>
          <w:rFonts w:ascii="Cambria" w:hAnsi="Cambria"/>
        </w:rPr>
        <w:t xml:space="preserve">, </w:t>
      </w:r>
      <w:r w:rsidR="007224C2" w:rsidRPr="00025F8B">
        <w:rPr>
          <w:rFonts w:ascii="Cambria" w:hAnsi="Cambria"/>
          <w:i/>
        </w:rPr>
        <w:t>28</w:t>
      </w:r>
      <w:r w:rsidR="007224C2" w:rsidRPr="00025F8B">
        <w:rPr>
          <w:rFonts w:ascii="Cambria" w:hAnsi="Cambria"/>
        </w:rPr>
        <w:t>(1), 4-22</w:t>
      </w:r>
    </w:p>
    <w:p w14:paraId="5455C8D5" w14:textId="220887B9" w:rsidR="002D656A" w:rsidRPr="00025F8B" w:rsidRDefault="002D656A" w:rsidP="00FB4709">
      <w:pPr>
        <w:spacing w:after="120"/>
        <w:ind w:left="720" w:hanging="720"/>
        <w:jc w:val="both"/>
        <w:rPr>
          <w:rFonts w:ascii="Cambria" w:hAnsi="Cambria"/>
        </w:rPr>
      </w:pPr>
      <w:r w:rsidRPr="00025F8B">
        <w:rPr>
          <w:rFonts w:ascii="Cambria" w:hAnsi="Cambria"/>
        </w:rPr>
        <w:t xml:space="preserve">Naqvi, N. (2019). Renationalizing finance for development: policy space and public economic control in Bolivia. </w:t>
      </w:r>
      <w:r w:rsidRPr="00025F8B">
        <w:rPr>
          <w:rFonts w:ascii="Cambria" w:hAnsi="Cambria"/>
          <w:i/>
        </w:rPr>
        <w:t>Review of International Political Economy</w:t>
      </w:r>
      <w:r w:rsidRPr="00025F8B">
        <w:rPr>
          <w:rFonts w:ascii="Cambria" w:hAnsi="Cambria"/>
        </w:rPr>
        <w:t>. https://doi.org/10.1080/09692290.2019.1696870</w:t>
      </w:r>
    </w:p>
    <w:p w14:paraId="546FB550" w14:textId="359791DE" w:rsidR="004F7D48" w:rsidRPr="00025F8B" w:rsidRDefault="004F7D48" w:rsidP="00FB4709">
      <w:pPr>
        <w:spacing w:after="120"/>
        <w:ind w:left="720" w:hanging="720"/>
        <w:jc w:val="both"/>
        <w:rPr>
          <w:rFonts w:ascii="Cambria" w:hAnsi="Cambria"/>
        </w:rPr>
      </w:pPr>
      <w:r w:rsidRPr="00025F8B">
        <w:rPr>
          <w:rFonts w:ascii="Cambria" w:hAnsi="Cambria"/>
        </w:rPr>
        <w:t xml:space="preserve">Ornston, D. (2012). </w:t>
      </w:r>
      <w:r w:rsidRPr="00025F8B">
        <w:rPr>
          <w:rFonts w:ascii="Cambria" w:hAnsi="Cambria"/>
          <w:i/>
        </w:rPr>
        <w:t>When small states make big leaps: Institutional innovation and high-tech competition in Western Europe</w:t>
      </w:r>
      <w:r w:rsidRPr="00025F8B">
        <w:rPr>
          <w:rFonts w:ascii="Cambria" w:hAnsi="Cambria"/>
        </w:rPr>
        <w:t>. Ithaca, NY: Cornell University Press.</w:t>
      </w:r>
    </w:p>
    <w:p w14:paraId="5F1DEAD8" w14:textId="06D1A20F" w:rsidR="00234633" w:rsidRPr="00025F8B" w:rsidRDefault="00234633" w:rsidP="00FB4709">
      <w:pPr>
        <w:spacing w:after="120"/>
        <w:ind w:left="720" w:hanging="720"/>
        <w:jc w:val="both"/>
        <w:rPr>
          <w:rFonts w:ascii="Cambria" w:hAnsi="Cambria"/>
        </w:rPr>
      </w:pPr>
      <w:r w:rsidRPr="00025F8B">
        <w:rPr>
          <w:rFonts w:ascii="Cambria" w:hAnsi="Cambria"/>
        </w:rPr>
        <w:t xml:space="preserve">Ost, D. (2000). Illusory corporatism in Eastern Europe: Neoliberal tripartism and postcommunist identities. Politics &amp; Society, </w:t>
      </w:r>
      <w:r w:rsidRPr="00025F8B">
        <w:rPr>
          <w:rFonts w:ascii="Cambria" w:hAnsi="Cambria"/>
          <w:i/>
        </w:rPr>
        <w:t>28</w:t>
      </w:r>
      <w:r w:rsidRPr="00025F8B">
        <w:rPr>
          <w:rFonts w:ascii="Cambria" w:hAnsi="Cambria"/>
        </w:rPr>
        <w:t>(4), 503-530.</w:t>
      </w:r>
    </w:p>
    <w:p w14:paraId="37FE700C" w14:textId="23F80CD9" w:rsidR="0013711D" w:rsidRPr="00025F8B" w:rsidRDefault="0013711D" w:rsidP="00FB4709">
      <w:pPr>
        <w:spacing w:after="120"/>
        <w:ind w:left="720" w:hanging="720"/>
        <w:jc w:val="both"/>
        <w:rPr>
          <w:rFonts w:ascii="Cambria" w:hAnsi="Cambria"/>
        </w:rPr>
      </w:pPr>
      <w:r w:rsidRPr="00025F8B">
        <w:rPr>
          <w:rFonts w:ascii="Cambria" w:hAnsi="Cambria"/>
        </w:rPr>
        <w:t xml:space="preserve">Ost, D. (2005). </w:t>
      </w:r>
      <w:r w:rsidRPr="00025F8B">
        <w:rPr>
          <w:rFonts w:ascii="Cambria" w:hAnsi="Cambria"/>
          <w:i/>
        </w:rPr>
        <w:t>The defeat of solidarity</w:t>
      </w:r>
      <w:r w:rsidR="004F7D48" w:rsidRPr="00025F8B">
        <w:rPr>
          <w:rFonts w:ascii="Cambria" w:hAnsi="Cambria"/>
          <w:i/>
        </w:rPr>
        <w:t>: Anger and politics in post-communist Europe</w:t>
      </w:r>
      <w:r w:rsidR="004F7D48" w:rsidRPr="00025F8B">
        <w:rPr>
          <w:rFonts w:ascii="Cambria" w:hAnsi="Cambria"/>
        </w:rPr>
        <w:t>. Ithaca: Cornell University Press.</w:t>
      </w:r>
    </w:p>
    <w:p w14:paraId="08439609" w14:textId="6C96246E" w:rsidR="004F7D48" w:rsidRPr="00025F8B" w:rsidRDefault="004F7D48" w:rsidP="00FB4709">
      <w:pPr>
        <w:spacing w:after="120"/>
        <w:ind w:left="720" w:hanging="720"/>
        <w:jc w:val="both"/>
        <w:rPr>
          <w:rFonts w:ascii="Cambria" w:hAnsi="Cambria"/>
        </w:rPr>
      </w:pPr>
      <w:r w:rsidRPr="00025F8B">
        <w:rPr>
          <w:rFonts w:ascii="Cambria" w:hAnsi="Cambria"/>
        </w:rPr>
        <w:t xml:space="preserve">Pontusson, J. (1992). </w:t>
      </w:r>
      <w:r w:rsidR="002D656A" w:rsidRPr="00025F8B">
        <w:rPr>
          <w:rFonts w:ascii="Cambria" w:hAnsi="Cambria"/>
          <w:i/>
        </w:rPr>
        <w:t>The limits of social democracy: Investment politics in Sweden</w:t>
      </w:r>
      <w:r w:rsidR="002D656A" w:rsidRPr="00025F8B">
        <w:rPr>
          <w:rFonts w:ascii="Cambria" w:hAnsi="Cambria"/>
        </w:rPr>
        <w:t>. Ithaca, NY: Cornell University Press.</w:t>
      </w:r>
    </w:p>
    <w:p w14:paraId="4A78C838" w14:textId="77777777" w:rsidR="00F06151" w:rsidRPr="00025F8B" w:rsidRDefault="00EF4DCB" w:rsidP="00FB4709">
      <w:pPr>
        <w:spacing w:after="120"/>
        <w:ind w:left="720" w:hanging="720"/>
        <w:jc w:val="both"/>
        <w:rPr>
          <w:rFonts w:ascii="Cambria" w:hAnsi="Cambria"/>
        </w:rPr>
      </w:pPr>
      <w:r w:rsidRPr="00025F8B">
        <w:rPr>
          <w:rFonts w:ascii="Cambria" w:hAnsi="Cambria"/>
        </w:rPr>
        <w:t xml:space="preserve">Scheiring, G. (2020). </w:t>
      </w:r>
      <w:r w:rsidRPr="00025F8B">
        <w:rPr>
          <w:rFonts w:ascii="Cambria" w:hAnsi="Cambria"/>
          <w:i/>
        </w:rPr>
        <w:t>The retreat of liberal democracy: Authoritarian capitalism and the accumulative state in Hungary</w:t>
      </w:r>
      <w:r w:rsidRPr="00025F8B">
        <w:rPr>
          <w:rFonts w:ascii="Cambria" w:hAnsi="Cambria"/>
        </w:rPr>
        <w:t>. Basingstoke: Palgrave MacMillan.</w:t>
      </w:r>
    </w:p>
    <w:p w14:paraId="4B4A4090" w14:textId="747C9641" w:rsidR="00F06151" w:rsidRPr="00025F8B" w:rsidRDefault="00F06151" w:rsidP="00FB4709">
      <w:pPr>
        <w:spacing w:after="120"/>
        <w:ind w:left="720" w:hanging="720"/>
        <w:jc w:val="both"/>
        <w:rPr>
          <w:rFonts w:ascii="Cambria" w:hAnsi="Cambria"/>
        </w:rPr>
      </w:pPr>
      <w:r w:rsidRPr="00025F8B">
        <w:rPr>
          <w:rFonts w:ascii="Cambria" w:hAnsi="Cambria"/>
          <w:color w:val="151617"/>
        </w:rPr>
        <w:t xml:space="preserve">Schoenman, R. (2014). </w:t>
      </w:r>
      <w:r w:rsidRPr="00025F8B">
        <w:rPr>
          <w:rFonts w:ascii="Cambria" w:hAnsi="Cambria"/>
          <w:i/>
          <w:color w:val="151617"/>
        </w:rPr>
        <w:t>Networks and institutions in Europe’s emerging markets</w:t>
      </w:r>
      <w:r w:rsidRPr="00025F8B">
        <w:rPr>
          <w:rFonts w:ascii="Cambria" w:hAnsi="Cambria"/>
          <w:color w:val="151617"/>
        </w:rPr>
        <w:t>. Cambridge: Cambridge University Press.</w:t>
      </w:r>
    </w:p>
    <w:p w14:paraId="0C9AAA4F" w14:textId="4CD2135D" w:rsidR="00FA7A0A" w:rsidRPr="00833A42" w:rsidRDefault="00FA7A0A" w:rsidP="00FB4709">
      <w:pPr>
        <w:spacing w:after="120"/>
        <w:ind w:left="706" w:hanging="706"/>
        <w:jc w:val="both"/>
        <w:rPr>
          <w:rFonts w:ascii="Cambria" w:hAnsi="Cambria"/>
          <w:color w:val="006ACC"/>
          <w:u w:val="single"/>
          <w:shd w:val="clear" w:color="auto" w:fill="FFFFFF"/>
        </w:rPr>
      </w:pPr>
      <w:r w:rsidRPr="00833A42">
        <w:rPr>
          <w:rFonts w:ascii="Cambria" w:hAnsi="Cambria"/>
        </w:rPr>
        <w:t>Szarzec, K., Totleben, B., &amp; Pi</w:t>
      </w:r>
      <w:r w:rsidRPr="00833A42">
        <w:rPr>
          <w:rFonts w:ascii="Cambria" w:hAnsi="Cambria"/>
          <w:color w:val="151617"/>
        </w:rPr>
        <w:t xml:space="preserve">ątek, D. (2020). How do politicians capture a state? Evidence from state-owned enterprises. </w:t>
      </w:r>
      <w:r w:rsidRPr="00833A42">
        <w:rPr>
          <w:rFonts w:ascii="Cambria" w:hAnsi="Cambria"/>
          <w:i/>
          <w:iCs/>
          <w:color w:val="151617"/>
        </w:rPr>
        <w:t>East European Politics and Societies</w:t>
      </w:r>
      <w:r w:rsidRPr="00833A42">
        <w:rPr>
          <w:rFonts w:ascii="Cambria" w:hAnsi="Cambria"/>
          <w:color w:val="151617"/>
        </w:rPr>
        <w:t xml:space="preserve">, </w:t>
      </w:r>
      <w:hyperlink r:id="rId12" w:history="1">
        <w:r w:rsidRPr="00833A42">
          <w:rPr>
            <w:rFonts w:ascii="Cambria" w:hAnsi="Cambria"/>
            <w:color w:val="006ACC"/>
            <w:u w:val="single"/>
            <w:shd w:val="clear" w:color="auto" w:fill="FFFFFF"/>
          </w:rPr>
          <w:t>https://doi.org/10.1177/0888325420953485</w:t>
        </w:r>
      </w:hyperlink>
    </w:p>
    <w:p w14:paraId="4B5A1791" w14:textId="1850BAD5" w:rsidR="00215737" w:rsidRPr="00833A42" w:rsidRDefault="00215737" w:rsidP="00FB4709">
      <w:pPr>
        <w:spacing w:after="120"/>
        <w:ind w:left="720" w:hanging="720"/>
        <w:jc w:val="both"/>
        <w:rPr>
          <w:rFonts w:ascii="Cambria" w:hAnsi="Cambria"/>
        </w:rPr>
      </w:pPr>
      <w:r w:rsidRPr="00833A42">
        <w:rPr>
          <w:rFonts w:ascii="Cambria" w:hAnsi="Cambria"/>
        </w:rPr>
        <w:t>Trampusch, C</w:t>
      </w:r>
      <w:r w:rsidR="009C354C" w:rsidRPr="00833A42">
        <w:rPr>
          <w:rFonts w:ascii="Cambria" w:hAnsi="Cambria"/>
        </w:rPr>
        <w:t>.</w:t>
      </w:r>
      <w:r w:rsidR="00A169E1" w:rsidRPr="00833A42">
        <w:rPr>
          <w:rFonts w:ascii="Cambria" w:hAnsi="Cambria"/>
        </w:rPr>
        <w:t>,</w:t>
      </w:r>
      <w:r w:rsidRPr="00833A42">
        <w:rPr>
          <w:rFonts w:ascii="Cambria" w:hAnsi="Cambria"/>
        </w:rPr>
        <w:t xml:space="preserve"> </w:t>
      </w:r>
      <w:r w:rsidR="00A169E1" w:rsidRPr="00833A42">
        <w:rPr>
          <w:rFonts w:ascii="Cambria" w:hAnsi="Cambria"/>
        </w:rPr>
        <w:t>&amp;</w:t>
      </w:r>
      <w:r w:rsidRPr="00833A42">
        <w:rPr>
          <w:rFonts w:ascii="Cambria" w:hAnsi="Cambria"/>
        </w:rPr>
        <w:t xml:space="preserve"> Palier, B</w:t>
      </w:r>
      <w:r w:rsidR="009C354C" w:rsidRPr="00833A42">
        <w:rPr>
          <w:rFonts w:ascii="Cambria" w:hAnsi="Cambria"/>
        </w:rPr>
        <w:t>.</w:t>
      </w:r>
      <w:r w:rsidRPr="00833A42">
        <w:rPr>
          <w:rFonts w:ascii="Cambria" w:hAnsi="Cambria"/>
        </w:rPr>
        <w:t xml:space="preserve"> (2016)</w:t>
      </w:r>
      <w:r w:rsidR="009C354C" w:rsidRPr="00833A42">
        <w:rPr>
          <w:rFonts w:ascii="Cambria" w:hAnsi="Cambria"/>
        </w:rPr>
        <w:t>.</w:t>
      </w:r>
      <w:r w:rsidRPr="00833A42">
        <w:rPr>
          <w:rFonts w:ascii="Cambria" w:hAnsi="Cambria"/>
        </w:rPr>
        <w:t xml:space="preserve"> Between X and Y: how process tracing contributes to opening the black box of causality. </w:t>
      </w:r>
      <w:r w:rsidRPr="00833A42">
        <w:rPr>
          <w:rFonts w:ascii="Cambria" w:hAnsi="Cambria"/>
          <w:i/>
        </w:rPr>
        <w:t>New Political Economy</w:t>
      </w:r>
      <w:r w:rsidR="009C354C" w:rsidRPr="00833A42">
        <w:rPr>
          <w:rFonts w:ascii="Cambria" w:hAnsi="Cambria"/>
        </w:rPr>
        <w:t xml:space="preserve">, </w:t>
      </w:r>
      <w:r w:rsidR="009C354C" w:rsidRPr="00833A42">
        <w:rPr>
          <w:rFonts w:ascii="Cambria" w:hAnsi="Cambria"/>
          <w:i/>
        </w:rPr>
        <w:t>21</w:t>
      </w:r>
      <w:r w:rsidRPr="00833A42">
        <w:rPr>
          <w:rFonts w:ascii="Cambria" w:hAnsi="Cambria"/>
        </w:rPr>
        <w:t xml:space="preserve">(5), 437-454. </w:t>
      </w:r>
    </w:p>
    <w:p w14:paraId="3A003B10" w14:textId="61915DFD" w:rsidR="00650B4F" w:rsidRPr="00025F8B" w:rsidRDefault="00650B4F" w:rsidP="00FB4709">
      <w:pPr>
        <w:spacing w:after="120"/>
        <w:ind w:left="720" w:hanging="720"/>
        <w:jc w:val="both"/>
        <w:rPr>
          <w:rFonts w:ascii="Cambria" w:hAnsi="Cambria"/>
        </w:rPr>
      </w:pPr>
      <w:r w:rsidRPr="00833A42">
        <w:rPr>
          <w:rFonts w:ascii="Cambria" w:hAnsi="Cambria"/>
        </w:rPr>
        <w:t xml:space="preserve">van Evera, S. (1997). </w:t>
      </w:r>
      <w:r w:rsidRPr="00833A42">
        <w:rPr>
          <w:rFonts w:ascii="Cambria" w:hAnsi="Cambria"/>
          <w:i/>
        </w:rPr>
        <w:t xml:space="preserve">Guide to Methods </w:t>
      </w:r>
      <w:r w:rsidR="00E755DE" w:rsidRPr="00833A42">
        <w:rPr>
          <w:rFonts w:ascii="Cambria" w:hAnsi="Cambria"/>
          <w:i/>
        </w:rPr>
        <w:t>for Students of Political Science</w:t>
      </w:r>
      <w:r w:rsidR="00E755DE" w:rsidRPr="00833A42">
        <w:rPr>
          <w:rFonts w:ascii="Cambria" w:hAnsi="Cambria"/>
        </w:rPr>
        <w:t>. Ithaca, NY: Cornell University</w:t>
      </w:r>
      <w:r w:rsidR="00E755DE" w:rsidRPr="00025F8B">
        <w:rPr>
          <w:rFonts w:ascii="Cambria" w:hAnsi="Cambria"/>
        </w:rPr>
        <w:t xml:space="preserve"> Press.</w:t>
      </w:r>
    </w:p>
    <w:p w14:paraId="3CF037DA" w14:textId="77777777" w:rsidR="00F51F25" w:rsidRPr="00025F8B" w:rsidRDefault="00F51F25" w:rsidP="00FB4709">
      <w:pPr>
        <w:spacing w:after="120"/>
        <w:ind w:left="720" w:hanging="720"/>
        <w:jc w:val="both"/>
        <w:rPr>
          <w:rFonts w:ascii="Cambria" w:hAnsi="Cambria"/>
        </w:rPr>
      </w:pPr>
      <w:r w:rsidRPr="00025F8B">
        <w:rPr>
          <w:rFonts w:ascii="Cambria" w:hAnsi="Cambria"/>
        </w:rPr>
        <w:t xml:space="preserve">Weigend, T. (2014) Subjective elements of criminal liability. In M. D. Dubber &amp; T. Hörnle (Eds.) </w:t>
      </w:r>
      <w:r w:rsidRPr="00025F8B">
        <w:rPr>
          <w:rFonts w:ascii="Cambria" w:hAnsi="Cambria"/>
          <w:i/>
        </w:rPr>
        <w:t>The Oxford handbook of criminal law</w:t>
      </w:r>
      <w:r w:rsidRPr="00025F8B">
        <w:rPr>
          <w:rFonts w:ascii="Cambria" w:hAnsi="Cambria"/>
        </w:rPr>
        <w:t>. Oxford: Oxford University Press.</w:t>
      </w:r>
    </w:p>
    <w:p w14:paraId="71036017" w14:textId="3A6B8B40" w:rsidR="00F51F25" w:rsidRPr="00025F8B" w:rsidRDefault="00F51F25" w:rsidP="00F51F25">
      <w:pPr>
        <w:spacing w:after="120"/>
        <w:rPr>
          <w:rFonts w:ascii="Cambria" w:hAnsi="Cambria"/>
        </w:rPr>
      </w:pPr>
    </w:p>
    <w:p w14:paraId="648EE3B8" w14:textId="77777777" w:rsidR="00215737" w:rsidRPr="00025F8B" w:rsidRDefault="00215737" w:rsidP="00C745FA">
      <w:pPr>
        <w:rPr>
          <w:rFonts w:ascii="Cambria" w:hAnsi="Cambria"/>
        </w:rPr>
      </w:pPr>
    </w:p>
    <w:sectPr w:rsidR="00215737" w:rsidRPr="00025F8B" w:rsidSect="008A0CF9">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925F4" w14:textId="77777777" w:rsidR="009F418E" w:rsidRDefault="009F418E" w:rsidP="00AE4778">
      <w:r>
        <w:separator/>
      </w:r>
    </w:p>
  </w:endnote>
  <w:endnote w:type="continuationSeparator" w:id="0">
    <w:p w14:paraId="1693A9FB" w14:textId="77777777" w:rsidR="009F418E" w:rsidRDefault="009F418E" w:rsidP="00AE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Deja Vu Serif">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231AD" w14:textId="77777777" w:rsidR="00DB4F19" w:rsidRDefault="00DB4F19"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9E0B3E" w14:textId="77777777" w:rsidR="00DB4F19" w:rsidRDefault="00DB4F19" w:rsidP="00DB4F1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F6B25" w14:textId="77777777" w:rsidR="00DB4F19" w:rsidRDefault="00DB4F19"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50A9">
      <w:rPr>
        <w:rStyle w:val="PageNumber"/>
        <w:noProof/>
      </w:rPr>
      <w:t>1</w:t>
    </w:r>
    <w:r>
      <w:rPr>
        <w:rStyle w:val="PageNumber"/>
      </w:rPr>
      <w:fldChar w:fldCharType="end"/>
    </w:r>
  </w:p>
  <w:p w14:paraId="2AA9FB03" w14:textId="77777777" w:rsidR="00DB4F19" w:rsidRDefault="00DB4F19" w:rsidP="00DB4F1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805F4" w14:textId="77777777" w:rsidR="009F418E" w:rsidRDefault="009F418E" w:rsidP="00AE4778">
      <w:r>
        <w:separator/>
      </w:r>
    </w:p>
  </w:footnote>
  <w:footnote w:type="continuationSeparator" w:id="0">
    <w:p w14:paraId="20E9E16E" w14:textId="77777777" w:rsidR="009F418E" w:rsidRDefault="009F418E" w:rsidP="00AE4778">
      <w:r>
        <w:continuationSeparator/>
      </w:r>
    </w:p>
  </w:footnote>
  <w:footnote w:id="1">
    <w:p w14:paraId="4484672C" w14:textId="77777777" w:rsidR="009F418E" w:rsidRPr="009C6E0A" w:rsidRDefault="009F418E" w:rsidP="005621AD">
      <w:pPr>
        <w:pStyle w:val="FootnoteText"/>
        <w:rPr>
          <w:sz w:val="22"/>
          <w:szCs w:val="22"/>
        </w:rPr>
      </w:pPr>
      <w:r w:rsidRPr="009C6E0A">
        <w:rPr>
          <w:rStyle w:val="FootnoteReference"/>
          <w:sz w:val="22"/>
          <w:szCs w:val="22"/>
        </w:rPr>
        <w:footnoteRef/>
      </w:r>
      <w:r w:rsidRPr="009C6E0A">
        <w:rPr>
          <w:sz w:val="22"/>
          <w:szCs w:val="22"/>
        </w:rPr>
        <w:t xml:space="preserve"> </w:t>
      </w:r>
      <w:r w:rsidRPr="009C6E0A">
        <w:rPr>
          <w:rFonts w:ascii="Cambria" w:hAnsi="Cambria"/>
          <w:sz w:val="22"/>
          <w:szCs w:val="22"/>
        </w:rPr>
        <w:t>Using the language of the different stages of the “policy cycle”, the question could be reformulated as who has led the policy cycle process from the agenda-setting stage, through the formulation stage up to the adoption – and even potentially the implementation – stage?</w:t>
      </w:r>
    </w:p>
  </w:footnote>
  <w:footnote w:id="2">
    <w:p w14:paraId="74C9C631" w14:textId="7D13D76B"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w:t>
      </w:r>
      <w:r w:rsidRPr="009C6E0A">
        <w:rPr>
          <w:rFonts w:ascii="Cambria" w:hAnsi="Cambria"/>
          <w:sz w:val="22"/>
          <w:szCs w:val="22"/>
        </w:rPr>
        <w:t xml:space="preserve">Is a specific observation predicted to be highly </w:t>
      </w:r>
      <w:r w:rsidRPr="009C6E0A">
        <w:rPr>
          <w:rFonts w:ascii="Cambria" w:hAnsi="Cambria"/>
          <w:i/>
          <w:sz w:val="22"/>
          <w:szCs w:val="22"/>
        </w:rPr>
        <w:t>unique</w:t>
      </w:r>
      <w:r w:rsidRPr="009C6E0A">
        <w:rPr>
          <w:rFonts w:ascii="Cambria" w:hAnsi="Cambria"/>
          <w:sz w:val="22"/>
          <w:szCs w:val="22"/>
        </w:rPr>
        <w:t xml:space="preserve"> to a specific hypothesis?</w:t>
      </w:r>
    </w:p>
  </w:footnote>
  <w:footnote w:id="3">
    <w:p w14:paraId="2438CC6E" w14:textId="47CF43E3"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w:t>
      </w:r>
      <w:r w:rsidRPr="009C6E0A">
        <w:rPr>
          <w:rFonts w:ascii="Cambria" w:hAnsi="Cambria"/>
          <w:sz w:val="22"/>
          <w:szCs w:val="22"/>
        </w:rPr>
        <w:t xml:space="preserve">Is a specific observation predicted to be highly </w:t>
      </w:r>
      <w:r w:rsidRPr="009C6E0A">
        <w:rPr>
          <w:rFonts w:ascii="Cambria" w:hAnsi="Cambria"/>
          <w:i/>
          <w:sz w:val="22"/>
          <w:szCs w:val="22"/>
        </w:rPr>
        <w:t>certain</w:t>
      </w:r>
      <w:r w:rsidRPr="009C6E0A">
        <w:rPr>
          <w:rFonts w:ascii="Cambria" w:hAnsi="Cambria"/>
          <w:sz w:val="22"/>
          <w:szCs w:val="22"/>
        </w:rPr>
        <w:t xml:space="preserve"> to occur if a specific hypothesis is valid?</w:t>
      </w:r>
    </w:p>
  </w:footnote>
  <w:footnote w:id="4">
    <w:p w14:paraId="624C0014" w14:textId="0B765AB0"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w:t>
      </w:r>
      <w:r w:rsidRPr="009C6E0A">
        <w:rPr>
          <w:rFonts w:ascii="Cambria" w:hAnsi="Cambria"/>
          <w:sz w:val="22"/>
          <w:szCs w:val="22"/>
        </w:rPr>
        <w:t xml:space="preserve">Is the presence of an observation </w:t>
      </w:r>
      <w:r w:rsidRPr="009C6E0A">
        <w:rPr>
          <w:rFonts w:ascii="Cambria" w:hAnsi="Cambria"/>
          <w:i/>
          <w:sz w:val="22"/>
          <w:szCs w:val="22"/>
        </w:rPr>
        <w:t>necessary</w:t>
      </w:r>
      <w:r w:rsidRPr="009C6E0A">
        <w:rPr>
          <w:rFonts w:ascii="Cambria" w:hAnsi="Cambria"/>
          <w:sz w:val="22"/>
          <w:szCs w:val="22"/>
        </w:rPr>
        <w:t xml:space="preserve"> for the hypothesis in question to be valid?</w:t>
      </w:r>
    </w:p>
  </w:footnote>
  <w:footnote w:id="5">
    <w:p w14:paraId="1D122370" w14:textId="776C8E6D"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w:t>
      </w:r>
      <w:r w:rsidRPr="009C6E0A">
        <w:rPr>
          <w:rFonts w:ascii="Cambria" w:hAnsi="Cambria"/>
          <w:sz w:val="22"/>
          <w:szCs w:val="22"/>
        </w:rPr>
        <w:t xml:space="preserve">Is the presence of an observation </w:t>
      </w:r>
      <w:r w:rsidRPr="009C6E0A">
        <w:rPr>
          <w:rFonts w:ascii="Cambria" w:hAnsi="Cambria"/>
          <w:i/>
          <w:sz w:val="22"/>
          <w:szCs w:val="22"/>
        </w:rPr>
        <w:t>sufficient</w:t>
      </w:r>
      <w:r w:rsidRPr="009C6E0A">
        <w:rPr>
          <w:rFonts w:ascii="Cambria" w:hAnsi="Cambria"/>
          <w:sz w:val="22"/>
          <w:szCs w:val="22"/>
        </w:rPr>
        <w:t xml:space="preserve"> for that hypothesis to be valid?</w:t>
      </w:r>
    </w:p>
  </w:footnote>
  <w:footnote w:id="6">
    <w:p w14:paraId="57E192FD" w14:textId="256B0FA4"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Let us, for example, assume that my main research question in the paper would be to explain why comprador bankers have developed a preference for developmentalism and banking renationalization/domestication after the crisis – not necessarily to explain their influence. And let us assume that, instead of hypothesizing that they have developed this kind of preference because of their managerial frustration, I hypothesized that they have done because of the rise of “heterodox” economic ideas. If I wanted to develop some hoop tests (empirical evidence that is necessary for the theory to be valid) for both explanations, I would naturally have to develop </w:t>
      </w:r>
      <w:r w:rsidRPr="009C6E0A">
        <w:rPr>
          <w:i/>
          <w:sz w:val="22"/>
          <w:szCs w:val="22"/>
        </w:rPr>
        <w:t>different</w:t>
      </w:r>
      <w:r w:rsidRPr="009C6E0A">
        <w:rPr>
          <w:sz w:val="22"/>
          <w:szCs w:val="22"/>
        </w:rPr>
        <w:t xml:space="preserve"> hoop tests for each explanation.  </w:t>
      </w:r>
    </w:p>
  </w:footnote>
  <w:footnote w:id="7">
    <w:p w14:paraId="1F70B3CD" w14:textId="67B2C258"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With the proviso that there is sufficient evidence against the defendant and that there it is in the public interest for prosecutors to bring the case to court (C</w:t>
      </w:r>
      <w:r>
        <w:rPr>
          <w:sz w:val="22"/>
          <w:szCs w:val="22"/>
        </w:rPr>
        <w:t xml:space="preserve">rown </w:t>
      </w:r>
      <w:r w:rsidRPr="009C6E0A">
        <w:rPr>
          <w:sz w:val="22"/>
          <w:szCs w:val="22"/>
        </w:rPr>
        <w:t>P</w:t>
      </w:r>
      <w:r>
        <w:rPr>
          <w:sz w:val="22"/>
          <w:szCs w:val="22"/>
        </w:rPr>
        <w:t xml:space="preserve">rosecution </w:t>
      </w:r>
      <w:r w:rsidRPr="009C6E0A">
        <w:rPr>
          <w:sz w:val="22"/>
          <w:szCs w:val="22"/>
        </w:rPr>
        <w:t>S</w:t>
      </w:r>
      <w:r>
        <w:rPr>
          <w:sz w:val="22"/>
          <w:szCs w:val="22"/>
        </w:rPr>
        <w:t>ervice</w:t>
      </w:r>
      <w:r w:rsidRPr="009C6E0A">
        <w:rPr>
          <w:sz w:val="22"/>
          <w:szCs w:val="22"/>
        </w:rPr>
        <w:t>, 2020</w:t>
      </w:r>
      <w:r>
        <w:rPr>
          <w:sz w:val="22"/>
          <w:szCs w:val="22"/>
        </w:rPr>
        <w:t>a</w:t>
      </w:r>
      <w:r w:rsidRPr="009C6E0A">
        <w:rPr>
          <w:sz w:val="22"/>
          <w:szCs w:val="22"/>
        </w:rPr>
        <w:t>).</w:t>
      </w:r>
    </w:p>
  </w:footnote>
  <w:footnote w:id="8">
    <w:p w14:paraId="01BF9E8A" w14:textId="0A24C249" w:rsidR="009F418E" w:rsidRPr="009C6E0A" w:rsidRDefault="009F418E">
      <w:pPr>
        <w:pStyle w:val="FootnoteText"/>
        <w:rPr>
          <w:sz w:val="22"/>
          <w:szCs w:val="22"/>
        </w:rPr>
      </w:pPr>
      <w:r w:rsidRPr="009C6E0A">
        <w:rPr>
          <w:rStyle w:val="FootnoteReference"/>
          <w:sz w:val="22"/>
          <w:szCs w:val="22"/>
        </w:rPr>
        <w:footnoteRef/>
      </w:r>
      <w:r w:rsidRPr="009C6E0A">
        <w:rPr>
          <w:sz w:val="22"/>
          <w:szCs w:val="22"/>
        </w:rPr>
        <w:t xml:space="preserve"> This term does not seem to be used at all in criminal law. To follow the </w:t>
      </w:r>
      <w:hyperlink r:id="rId1" w:history="1">
        <w:r w:rsidRPr="009C6E0A">
          <w:rPr>
            <w:rStyle w:val="Hyperlink"/>
            <w:sz w:val="22"/>
            <w:szCs w:val="22"/>
          </w:rPr>
          <w:t>Cambridge Dictionary</w:t>
        </w:r>
      </w:hyperlink>
      <w:r w:rsidRPr="009C6E0A">
        <w:rPr>
          <w:sz w:val="22"/>
          <w:szCs w:val="22"/>
        </w:rPr>
        <w:t xml:space="preserve">, I simply mean somebody who plans an activity in detail and makes it happen successfully (potentially by involving other people in the activity). The mastermind does not have to have “invented” the idea, but he or she acts on a specific idea and do their utmost to make things happen.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5BC"/>
    <w:multiLevelType w:val="hybridMultilevel"/>
    <w:tmpl w:val="B094A1EC"/>
    <w:lvl w:ilvl="0" w:tplc="A25E95E2">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737271"/>
    <w:multiLevelType w:val="hybridMultilevel"/>
    <w:tmpl w:val="649C2036"/>
    <w:lvl w:ilvl="0" w:tplc="16DC6F7C">
      <w:start w:val="1"/>
      <w:numFmt w:val="bullet"/>
      <w:lvlText w:val=""/>
      <w:lvlJc w:val="left"/>
      <w:pPr>
        <w:tabs>
          <w:tab w:val="num" w:pos="720"/>
        </w:tabs>
        <w:ind w:left="720" w:hanging="360"/>
      </w:pPr>
      <w:rPr>
        <w:rFonts w:ascii="Wingdings" w:hAnsi="Wingdings" w:hint="default"/>
      </w:rPr>
    </w:lvl>
    <w:lvl w:ilvl="1" w:tplc="4E66ECC4" w:tentative="1">
      <w:start w:val="1"/>
      <w:numFmt w:val="bullet"/>
      <w:lvlText w:val=""/>
      <w:lvlJc w:val="left"/>
      <w:pPr>
        <w:tabs>
          <w:tab w:val="num" w:pos="1440"/>
        </w:tabs>
        <w:ind w:left="1440" w:hanging="360"/>
      </w:pPr>
      <w:rPr>
        <w:rFonts w:ascii="Wingdings" w:hAnsi="Wingdings" w:hint="default"/>
      </w:rPr>
    </w:lvl>
    <w:lvl w:ilvl="2" w:tplc="D474F8A8" w:tentative="1">
      <w:start w:val="1"/>
      <w:numFmt w:val="bullet"/>
      <w:lvlText w:val=""/>
      <w:lvlJc w:val="left"/>
      <w:pPr>
        <w:tabs>
          <w:tab w:val="num" w:pos="2160"/>
        </w:tabs>
        <w:ind w:left="2160" w:hanging="360"/>
      </w:pPr>
      <w:rPr>
        <w:rFonts w:ascii="Wingdings" w:hAnsi="Wingdings" w:hint="default"/>
      </w:rPr>
    </w:lvl>
    <w:lvl w:ilvl="3" w:tplc="E4B22532" w:tentative="1">
      <w:start w:val="1"/>
      <w:numFmt w:val="bullet"/>
      <w:lvlText w:val=""/>
      <w:lvlJc w:val="left"/>
      <w:pPr>
        <w:tabs>
          <w:tab w:val="num" w:pos="2880"/>
        </w:tabs>
        <w:ind w:left="2880" w:hanging="360"/>
      </w:pPr>
      <w:rPr>
        <w:rFonts w:ascii="Wingdings" w:hAnsi="Wingdings" w:hint="default"/>
      </w:rPr>
    </w:lvl>
    <w:lvl w:ilvl="4" w:tplc="7A129B6C" w:tentative="1">
      <w:start w:val="1"/>
      <w:numFmt w:val="bullet"/>
      <w:lvlText w:val=""/>
      <w:lvlJc w:val="left"/>
      <w:pPr>
        <w:tabs>
          <w:tab w:val="num" w:pos="3600"/>
        </w:tabs>
        <w:ind w:left="3600" w:hanging="360"/>
      </w:pPr>
      <w:rPr>
        <w:rFonts w:ascii="Wingdings" w:hAnsi="Wingdings" w:hint="default"/>
      </w:rPr>
    </w:lvl>
    <w:lvl w:ilvl="5" w:tplc="EE5E262A" w:tentative="1">
      <w:start w:val="1"/>
      <w:numFmt w:val="bullet"/>
      <w:lvlText w:val=""/>
      <w:lvlJc w:val="left"/>
      <w:pPr>
        <w:tabs>
          <w:tab w:val="num" w:pos="4320"/>
        </w:tabs>
        <w:ind w:left="4320" w:hanging="360"/>
      </w:pPr>
      <w:rPr>
        <w:rFonts w:ascii="Wingdings" w:hAnsi="Wingdings" w:hint="default"/>
      </w:rPr>
    </w:lvl>
    <w:lvl w:ilvl="6" w:tplc="6FBCDC2A" w:tentative="1">
      <w:start w:val="1"/>
      <w:numFmt w:val="bullet"/>
      <w:lvlText w:val=""/>
      <w:lvlJc w:val="left"/>
      <w:pPr>
        <w:tabs>
          <w:tab w:val="num" w:pos="5040"/>
        </w:tabs>
        <w:ind w:left="5040" w:hanging="360"/>
      </w:pPr>
      <w:rPr>
        <w:rFonts w:ascii="Wingdings" w:hAnsi="Wingdings" w:hint="default"/>
      </w:rPr>
    </w:lvl>
    <w:lvl w:ilvl="7" w:tplc="F1027A46" w:tentative="1">
      <w:start w:val="1"/>
      <w:numFmt w:val="bullet"/>
      <w:lvlText w:val=""/>
      <w:lvlJc w:val="left"/>
      <w:pPr>
        <w:tabs>
          <w:tab w:val="num" w:pos="5760"/>
        </w:tabs>
        <w:ind w:left="5760" w:hanging="360"/>
      </w:pPr>
      <w:rPr>
        <w:rFonts w:ascii="Wingdings" w:hAnsi="Wingdings" w:hint="default"/>
      </w:rPr>
    </w:lvl>
    <w:lvl w:ilvl="8" w:tplc="3CE20154" w:tentative="1">
      <w:start w:val="1"/>
      <w:numFmt w:val="bullet"/>
      <w:lvlText w:val=""/>
      <w:lvlJc w:val="left"/>
      <w:pPr>
        <w:tabs>
          <w:tab w:val="num" w:pos="6480"/>
        </w:tabs>
        <w:ind w:left="6480" w:hanging="360"/>
      </w:pPr>
      <w:rPr>
        <w:rFonts w:ascii="Wingdings" w:hAnsi="Wingdings" w:hint="default"/>
      </w:rPr>
    </w:lvl>
  </w:abstractNum>
  <w:abstractNum w:abstractNumId="2">
    <w:nsid w:val="216C5B94"/>
    <w:multiLevelType w:val="hybridMultilevel"/>
    <w:tmpl w:val="0A328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054D7F"/>
    <w:multiLevelType w:val="hybridMultilevel"/>
    <w:tmpl w:val="6E0C32C2"/>
    <w:lvl w:ilvl="0" w:tplc="BC7ED2F4">
      <w:start w:val="1"/>
      <w:numFmt w:val="bullet"/>
      <w:lvlText w:val=""/>
      <w:lvlJc w:val="left"/>
      <w:pPr>
        <w:tabs>
          <w:tab w:val="num" w:pos="720"/>
        </w:tabs>
        <w:ind w:left="720" w:hanging="360"/>
      </w:pPr>
      <w:rPr>
        <w:rFonts w:ascii="Wingdings" w:hAnsi="Wingdings" w:hint="default"/>
      </w:rPr>
    </w:lvl>
    <w:lvl w:ilvl="1" w:tplc="81B0E5C6">
      <w:start w:val="1"/>
      <w:numFmt w:val="bullet"/>
      <w:lvlText w:val=""/>
      <w:lvlJc w:val="left"/>
      <w:pPr>
        <w:tabs>
          <w:tab w:val="num" w:pos="1440"/>
        </w:tabs>
        <w:ind w:left="1440" w:hanging="360"/>
      </w:pPr>
      <w:rPr>
        <w:rFonts w:ascii="Wingdings" w:hAnsi="Wingdings" w:hint="default"/>
      </w:rPr>
    </w:lvl>
    <w:lvl w:ilvl="2" w:tplc="64EC423C" w:tentative="1">
      <w:start w:val="1"/>
      <w:numFmt w:val="bullet"/>
      <w:lvlText w:val=""/>
      <w:lvlJc w:val="left"/>
      <w:pPr>
        <w:tabs>
          <w:tab w:val="num" w:pos="2160"/>
        </w:tabs>
        <w:ind w:left="2160" w:hanging="360"/>
      </w:pPr>
      <w:rPr>
        <w:rFonts w:ascii="Wingdings" w:hAnsi="Wingdings" w:hint="default"/>
      </w:rPr>
    </w:lvl>
    <w:lvl w:ilvl="3" w:tplc="89B2F8C4" w:tentative="1">
      <w:start w:val="1"/>
      <w:numFmt w:val="bullet"/>
      <w:lvlText w:val=""/>
      <w:lvlJc w:val="left"/>
      <w:pPr>
        <w:tabs>
          <w:tab w:val="num" w:pos="2880"/>
        </w:tabs>
        <w:ind w:left="2880" w:hanging="360"/>
      </w:pPr>
      <w:rPr>
        <w:rFonts w:ascii="Wingdings" w:hAnsi="Wingdings" w:hint="default"/>
      </w:rPr>
    </w:lvl>
    <w:lvl w:ilvl="4" w:tplc="447CBFC8" w:tentative="1">
      <w:start w:val="1"/>
      <w:numFmt w:val="bullet"/>
      <w:lvlText w:val=""/>
      <w:lvlJc w:val="left"/>
      <w:pPr>
        <w:tabs>
          <w:tab w:val="num" w:pos="3600"/>
        </w:tabs>
        <w:ind w:left="3600" w:hanging="360"/>
      </w:pPr>
      <w:rPr>
        <w:rFonts w:ascii="Wingdings" w:hAnsi="Wingdings" w:hint="default"/>
      </w:rPr>
    </w:lvl>
    <w:lvl w:ilvl="5" w:tplc="CF022EB6" w:tentative="1">
      <w:start w:val="1"/>
      <w:numFmt w:val="bullet"/>
      <w:lvlText w:val=""/>
      <w:lvlJc w:val="left"/>
      <w:pPr>
        <w:tabs>
          <w:tab w:val="num" w:pos="4320"/>
        </w:tabs>
        <w:ind w:left="4320" w:hanging="360"/>
      </w:pPr>
      <w:rPr>
        <w:rFonts w:ascii="Wingdings" w:hAnsi="Wingdings" w:hint="default"/>
      </w:rPr>
    </w:lvl>
    <w:lvl w:ilvl="6" w:tplc="42BA691E" w:tentative="1">
      <w:start w:val="1"/>
      <w:numFmt w:val="bullet"/>
      <w:lvlText w:val=""/>
      <w:lvlJc w:val="left"/>
      <w:pPr>
        <w:tabs>
          <w:tab w:val="num" w:pos="5040"/>
        </w:tabs>
        <w:ind w:left="5040" w:hanging="360"/>
      </w:pPr>
      <w:rPr>
        <w:rFonts w:ascii="Wingdings" w:hAnsi="Wingdings" w:hint="default"/>
      </w:rPr>
    </w:lvl>
    <w:lvl w:ilvl="7" w:tplc="FC54EBEA" w:tentative="1">
      <w:start w:val="1"/>
      <w:numFmt w:val="bullet"/>
      <w:lvlText w:val=""/>
      <w:lvlJc w:val="left"/>
      <w:pPr>
        <w:tabs>
          <w:tab w:val="num" w:pos="5760"/>
        </w:tabs>
        <w:ind w:left="5760" w:hanging="360"/>
      </w:pPr>
      <w:rPr>
        <w:rFonts w:ascii="Wingdings" w:hAnsi="Wingdings" w:hint="default"/>
      </w:rPr>
    </w:lvl>
    <w:lvl w:ilvl="8" w:tplc="37EE3518" w:tentative="1">
      <w:start w:val="1"/>
      <w:numFmt w:val="bullet"/>
      <w:lvlText w:val=""/>
      <w:lvlJc w:val="left"/>
      <w:pPr>
        <w:tabs>
          <w:tab w:val="num" w:pos="6480"/>
        </w:tabs>
        <w:ind w:left="6480" w:hanging="360"/>
      </w:pPr>
      <w:rPr>
        <w:rFonts w:ascii="Wingdings" w:hAnsi="Wingdings" w:hint="default"/>
      </w:rPr>
    </w:lvl>
  </w:abstractNum>
  <w:abstractNum w:abstractNumId="4">
    <w:nsid w:val="381F3E38"/>
    <w:multiLevelType w:val="hybridMultilevel"/>
    <w:tmpl w:val="B0A2E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56EA9"/>
    <w:multiLevelType w:val="hybridMultilevel"/>
    <w:tmpl w:val="3990DB8E"/>
    <w:lvl w:ilvl="0" w:tplc="87D8F7F6">
      <w:start w:val="1"/>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8A8143B"/>
    <w:multiLevelType w:val="hybridMultilevel"/>
    <w:tmpl w:val="98B00902"/>
    <w:lvl w:ilvl="0" w:tplc="00B6B754">
      <w:start w:val="1"/>
      <w:numFmt w:val="bullet"/>
      <w:lvlText w:val=""/>
      <w:lvlJc w:val="left"/>
      <w:pPr>
        <w:tabs>
          <w:tab w:val="num" w:pos="720"/>
        </w:tabs>
        <w:ind w:left="720" w:hanging="360"/>
      </w:pPr>
      <w:rPr>
        <w:rFonts w:ascii="Wingdings" w:hAnsi="Wingdings" w:hint="default"/>
      </w:rPr>
    </w:lvl>
    <w:lvl w:ilvl="1" w:tplc="A29EF20E" w:tentative="1">
      <w:start w:val="1"/>
      <w:numFmt w:val="bullet"/>
      <w:lvlText w:val=""/>
      <w:lvlJc w:val="left"/>
      <w:pPr>
        <w:tabs>
          <w:tab w:val="num" w:pos="1440"/>
        </w:tabs>
        <w:ind w:left="1440" w:hanging="360"/>
      </w:pPr>
      <w:rPr>
        <w:rFonts w:ascii="Wingdings" w:hAnsi="Wingdings" w:hint="default"/>
      </w:rPr>
    </w:lvl>
    <w:lvl w:ilvl="2" w:tplc="BD005BEC" w:tentative="1">
      <w:start w:val="1"/>
      <w:numFmt w:val="bullet"/>
      <w:lvlText w:val=""/>
      <w:lvlJc w:val="left"/>
      <w:pPr>
        <w:tabs>
          <w:tab w:val="num" w:pos="2160"/>
        </w:tabs>
        <w:ind w:left="2160" w:hanging="360"/>
      </w:pPr>
      <w:rPr>
        <w:rFonts w:ascii="Wingdings" w:hAnsi="Wingdings" w:hint="default"/>
      </w:rPr>
    </w:lvl>
    <w:lvl w:ilvl="3" w:tplc="FDE28A2A" w:tentative="1">
      <w:start w:val="1"/>
      <w:numFmt w:val="bullet"/>
      <w:lvlText w:val=""/>
      <w:lvlJc w:val="left"/>
      <w:pPr>
        <w:tabs>
          <w:tab w:val="num" w:pos="2880"/>
        </w:tabs>
        <w:ind w:left="2880" w:hanging="360"/>
      </w:pPr>
      <w:rPr>
        <w:rFonts w:ascii="Wingdings" w:hAnsi="Wingdings" w:hint="default"/>
      </w:rPr>
    </w:lvl>
    <w:lvl w:ilvl="4" w:tplc="E2101B1C" w:tentative="1">
      <w:start w:val="1"/>
      <w:numFmt w:val="bullet"/>
      <w:lvlText w:val=""/>
      <w:lvlJc w:val="left"/>
      <w:pPr>
        <w:tabs>
          <w:tab w:val="num" w:pos="3600"/>
        </w:tabs>
        <w:ind w:left="3600" w:hanging="360"/>
      </w:pPr>
      <w:rPr>
        <w:rFonts w:ascii="Wingdings" w:hAnsi="Wingdings" w:hint="default"/>
      </w:rPr>
    </w:lvl>
    <w:lvl w:ilvl="5" w:tplc="4A4CB4AC" w:tentative="1">
      <w:start w:val="1"/>
      <w:numFmt w:val="bullet"/>
      <w:lvlText w:val=""/>
      <w:lvlJc w:val="left"/>
      <w:pPr>
        <w:tabs>
          <w:tab w:val="num" w:pos="4320"/>
        </w:tabs>
        <w:ind w:left="4320" w:hanging="360"/>
      </w:pPr>
      <w:rPr>
        <w:rFonts w:ascii="Wingdings" w:hAnsi="Wingdings" w:hint="default"/>
      </w:rPr>
    </w:lvl>
    <w:lvl w:ilvl="6" w:tplc="AFD278E6" w:tentative="1">
      <w:start w:val="1"/>
      <w:numFmt w:val="bullet"/>
      <w:lvlText w:val=""/>
      <w:lvlJc w:val="left"/>
      <w:pPr>
        <w:tabs>
          <w:tab w:val="num" w:pos="5040"/>
        </w:tabs>
        <w:ind w:left="5040" w:hanging="360"/>
      </w:pPr>
      <w:rPr>
        <w:rFonts w:ascii="Wingdings" w:hAnsi="Wingdings" w:hint="default"/>
      </w:rPr>
    </w:lvl>
    <w:lvl w:ilvl="7" w:tplc="715A2426" w:tentative="1">
      <w:start w:val="1"/>
      <w:numFmt w:val="bullet"/>
      <w:lvlText w:val=""/>
      <w:lvlJc w:val="left"/>
      <w:pPr>
        <w:tabs>
          <w:tab w:val="num" w:pos="5760"/>
        </w:tabs>
        <w:ind w:left="5760" w:hanging="360"/>
      </w:pPr>
      <w:rPr>
        <w:rFonts w:ascii="Wingdings" w:hAnsi="Wingdings" w:hint="default"/>
      </w:rPr>
    </w:lvl>
    <w:lvl w:ilvl="8" w:tplc="3E28D488" w:tentative="1">
      <w:start w:val="1"/>
      <w:numFmt w:val="bullet"/>
      <w:lvlText w:val=""/>
      <w:lvlJc w:val="left"/>
      <w:pPr>
        <w:tabs>
          <w:tab w:val="num" w:pos="6480"/>
        </w:tabs>
        <w:ind w:left="6480" w:hanging="360"/>
      </w:pPr>
      <w:rPr>
        <w:rFonts w:ascii="Wingdings" w:hAnsi="Wingdings" w:hint="default"/>
      </w:rPr>
    </w:lvl>
  </w:abstractNum>
  <w:abstractNum w:abstractNumId="7">
    <w:nsid w:val="566C2994"/>
    <w:multiLevelType w:val="hybridMultilevel"/>
    <w:tmpl w:val="4F82A19E"/>
    <w:lvl w:ilvl="0" w:tplc="87D8F7F6">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36298E"/>
    <w:multiLevelType w:val="hybridMultilevel"/>
    <w:tmpl w:val="75245936"/>
    <w:lvl w:ilvl="0" w:tplc="2214CA0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D82725"/>
    <w:multiLevelType w:val="hybridMultilevel"/>
    <w:tmpl w:val="E982DB84"/>
    <w:lvl w:ilvl="0" w:tplc="0480EE54">
      <w:start w:val="1"/>
      <w:numFmt w:val="bullet"/>
      <w:lvlText w:val=""/>
      <w:lvlJc w:val="left"/>
      <w:pPr>
        <w:tabs>
          <w:tab w:val="num" w:pos="720"/>
        </w:tabs>
        <w:ind w:left="720" w:hanging="360"/>
      </w:pPr>
      <w:rPr>
        <w:rFonts w:ascii="Wingdings" w:hAnsi="Wingdings" w:hint="default"/>
      </w:rPr>
    </w:lvl>
    <w:lvl w:ilvl="1" w:tplc="ACA23156" w:tentative="1">
      <w:start w:val="1"/>
      <w:numFmt w:val="bullet"/>
      <w:lvlText w:val=""/>
      <w:lvlJc w:val="left"/>
      <w:pPr>
        <w:tabs>
          <w:tab w:val="num" w:pos="1440"/>
        </w:tabs>
        <w:ind w:left="1440" w:hanging="360"/>
      </w:pPr>
      <w:rPr>
        <w:rFonts w:ascii="Wingdings" w:hAnsi="Wingdings" w:hint="default"/>
      </w:rPr>
    </w:lvl>
    <w:lvl w:ilvl="2" w:tplc="23F6EE68" w:tentative="1">
      <w:start w:val="1"/>
      <w:numFmt w:val="bullet"/>
      <w:lvlText w:val=""/>
      <w:lvlJc w:val="left"/>
      <w:pPr>
        <w:tabs>
          <w:tab w:val="num" w:pos="2160"/>
        </w:tabs>
        <w:ind w:left="2160" w:hanging="360"/>
      </w:pPr>
      <w:rPr>
        <w:rFonts w:ascii="Wingdings" w:hAnsi="Wingdings" w:hint="default"/>
      </w:rPr>
    </w:lvl>
    <w:lvl w:ilvl="3" w:tplc="A21A5EA2" w:tentative="1">
      <w:start w:val="1"/>
      <w:numFmt w:val="bullet"/>
      <w:lvlText w:val=""/>
      <w:lvlJc w:val="left"/>
      <w:pPr>
        <w:tabs>
          <w:tab w:val="num" w:pos="2880"/>
        </w:tabs>
        <w:ind w:left="2880" w:hanging="360"/>
      </w:pPr>
      <w:rPr>
        <w:rFonts w:ascii="Wingdings" w:hAnsi="Wingdings" w:hint="default"/>
      </w:rPr>
    </w:lvl>
    <w:lvl w:ilvl="4" w:tplc="F0E65074" w:tentative="1">
      <w:start w:val="1"/>
      <w:numFmt w:val="bullet"/>
      <w:lvlText w:val=""/>
      <w:lvlJc w:val="left"/>
      <w:pPr>
        <w:tabs>
          <w:tab w:val="num" w:pos="3600"/>
        </w:tabs>
        <w:ind w:left="3600" w:hanging="360"/>
      </w:pPr>
      <w:rPr>
        <w:rFonts w:ascii="Wingdings" w:hAnsi="Wingdings" w:hint="default"/>
      </w:rPr>
    </w:lvl>
    <w:lvl w:ilvl="5" w:tplc="C6F06022" w:tentative="1">
      <w:start w:val="1"/>
      <w:numFmt w:val="bullet"/>
      <w:lvlText w:val=""/>
      <w:lvlJc w:val="left"/>
      <w:pPr>
        <w:tabs>
          <w:tab w:val="num" w:pos="4320"/>
        </w:tabs>
        <w:ind w:left="4320" w:hanging="360"/>
      </w:pPr>
      <w:rPr>
        <w:rFonts w:ascii="Wingdings" w:hAnsi="Wingdings" w:hint="default"/>
      </w:rPr>
    </w:lvl>
    <w:lvl w:ilvl="6" w:tplc="71DA14BA" w:tentative="1">
      <w:start w:val="1"/>
      <w:numFmt w:val="bullet"/>
      <w:lvlText w:val=""/>
      <w:lvlJc w:val="left"/>
      <w:pPr>
        <w:tabs>
          <w:tab w:val="num" w:pos="5040"/>
        </w:tabs>
        <w:ind w:left="5040" w:hanging="360"/>
      </w:pPr>
      <w:rPr>
        <w:rFonts w:ascii="Wingdings" w:hAnsi="Wingdings" w:hint="default"/>
      </w:rPr>
    </w:lvl>
    <w:lvl w:ilvl="7" w:tplc="86AE4832" w:tentative="1">
      <w:start w:val="1"/>
      <w:numFmt w:val="bullet"/>
      <w:lvlText w:val=""/>
      <w:lvlJc w:val="left"/>
      <w:pPr>
        <w:tabs>
          <w:tab w:val="num" w:pos="5760"/>
        </w:tabs>
        <w:ind w:left="5760" w:hanging="360"/>
      </w:pPr>
      <w:rPr>
        <w:rFonts w:ascii="Wingdings" w:hAnsi="Wingdings" w:hint="default"/>
      </w:rPr>
    </w:lvl>
    <w:lvl w:ilvl="8" w:tplc="2F72A29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2"/>
  </w:num>
  <w:num w:numId="6">
    <w:abstractNumId w:val="7"/>
  </w:num>
  <w:num w:numId="7">
    <w:abstractNumId w:val="3"/>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9E"/>
    <w:rsid w:val="0000135A"/>
    <w:rsid w:val="00006C2D"/>
    <w:rsid w:val="00006D8D"/>
    <w:rsid w:val="00022FFD"/>
    <w:rsid w:val="00023759"/>
    <w:rsid w:val="00025F8B"/>
    <w:rsid w:val="000452DA"/>
    <w:rsid w:val="00051210"/>
    <w:rsid w:val="00064443"/>
    <w:rsid w:val="000710B1"/>
    <w:rsid w:val="00076197"/>
    <w:rsid w:val="000821F4"/>
    <w:rsid w:val="000847E4"/>
    <w:rsid w:val="00095BD1"/>
    <w:rsid w:val="000A2393"/>
    <w:rsid w:val="000A5060"/>
    <w:rsid w:val="000A5A08"/>
    <w:rsid w:val="000B0F56"/>
    <w:rsid w:val="000C56E8"/>
    <w:rsid w:val="000D0AA7"/>
    <w:rsid w:val="000D4154"/>
    <w:rsid w:val="000D7F81"/>
    <w:rsid w:val="000E786C"/>
    <w:rsid w:val="000F1A06"/>
    <w:rsid w:val="00105A14"/>
    <w:rsid w:val="001273D7"/>
    <w:rsid w:val="0013711D"/>
    <w:rsid w:val="00141049"/>
    <w:rsid w:val="00146F8A"/>
    <w:rsid w:val="00152357"/>
    <w:rsid w:val="001534B1"/>
    <w:rsid w:val="00161FEB"/>
    <w:rsid w:val="001629E5"/>
    <w:rsid w:val="00162B42"/>
    <w:rsid w:val="00164D9A"/>
    <w:rsid w:val="00166680"/>
    <w:rsid w:val="00177C7C"/>
    <w:rsid w:val="00190902"/>
    <w:rsid w:val="0019414E"/>
    <w:rsid w:val="001961A0"/>
    <w:rsid w:val="001A084B"/>
    <w:rsid w:val="001B17D3"/>
    <w:rsid w:val="001B1BC5"/>
    <w:rsid w:val="001C1FB5"/>
    <w:rsid w:val="001C2C7A"/>
    <w:rsid w:val="001E0516"/>
    <w:rsid w:val="001E19CC"/>
    <w:rsid w:val="001E7E71"/>
    <w:rsid w:val="001F0DE9"/>
    <w:rsid w:val="001F7D86"/>
    <w:rsid w:val="0020169B"/>
    <w:rsid w:val="00202F2A"/>
    <w:rsid w:val="00204D59"/>
    <w:rsid w:val="002109CD"/>
    <w:rsid w:val="002128D6"/>
    <w:rsid w:val="0021505E"/>
    <w:rsid w:val="0021562D"/>
    <w:rsid w:val="00215737"/>
    <w:rsid w:val="002240A1"/>
    <w:rsid w:val="00234633"/>
    <w:rsid w:val="00235817"/>
    <w:rsid w:val="00241406"/>
    <w:rsid w:val="0024178C"/>
    <w:rsid w:val="002446E7"/>
    <w:rsid w:val="00244715"/>
    <w:rsid w:val="002466F8"/>
    <w:rsid w:val="00246D22"/>
    <w:rsid w:val="002651B5"/>
    <w:rsid w:val="00270281"/>
    <w:rsid w:val="00272419"/>
    <w:rsid w:val="00276F87"/>
    <w:rsid w:val="0028226D"/>
    <w:rsid w:val="0029488F"/>
    <w:rsid w:val="002A1AD7"/>
    <w:rsid w:val="002A5CA8"/>
    <w:rsid w:val="002A662F"/>
    <w:rsid w:val="002C13BE"/>
    <w:rsid w:val="002C14F0"/>
    <w:rsid w:val="002D4513"/>
    <w:rsid w:val="002D656A"/>
    <w:rsid w:val="002D7E5B"/>
    <w:rsid w:val="002E2415"/>
    <w:rsid w:val="002F1F35"/>
    <w:rsid w:val="002F4899"/>
    <w:rsid w:val="00300055"/>
    <w:rsid w:val="00335CF9"/>
    <w:rsid w:val="003373B5"/>
    <w:rsid w:val="00343773"/>
    <w:rsid w:val="00343AA7"/>
    <w:rsid w:val="00353289"/>
    <w:rsid w:val="003623ED"/>
    <w:rsid w:val="003644C2"/>
    <w:rsid w:val="00384069"/>
    <w:rsid w:val="003A7C6F"/>
    <w:rsid w:val="003C383F"/>
    <w:rsid w:val="003C4155"/>
    <w:rsid w:val="003D2CE9"/>
    <w:rsid w:val="003D74D9"/>
    <w:rsid w:val="003E2961"/>
    <w:rsid w:val="003E3366"/>
    <w:rsid w:val="003E5CA4"/>
    <w:rsid w:val="003F5B16"/>
    <w:rsid w:val="003F692A"/>
    <w:rsid w:val="00400187"/>
    <w:rsid w:val="0040667F"/>
    <w:rsid w:val="00411498"/>
    <w:rsid w:val="004139DB"/>
    <w:rsid w:val="0041406E"/>
    <w:rsid w:val="004222C8"/>
    <w:rsid w:val="004233E1"/>
    <w:rsid w:val="0042404A"/>
    <w:rsid w:val="00426C50"/>
    <w:rsid w:val="00436E1A"/>
    <w:rsid w:val="00440F49"/>
    <w:rsid w:val="00466403"/>
    <w:rsid w:val="00467262"/>
    <w:rsid w:val="00477D27"/>
    <w:rsid w:val="00482240"/>
    <w:rsid w:val="004C1868"/>
    <w:rsid w:val="004D110E"/>
    <w:rsid w:val="004D2844"/>
    <w:rsid w:val="004E0976"/>
    <w:rsid w:val="004E672B"/>
    <w:rsid w:val="004F274E"/>
    <w:rsid w:val="004F7D48"/>
    <w:rsid w:val="00500C08"/>
    <w:rsid w:val="00501DC1"/>
    <w:rsid w:val="005145FA"/>
    <w:rsid w:val="00523576"/>
    <w:rsid w:val="0052746A"/>
    <w:rsid w:val="00531CD9"/>
    <w:rsid w:val="00536EB4"/>
    <w:rsid w:val="00537829"/>
    <w:rsid w:val="005621AD"/>
    <w:rsid w:val="005737D2"/>
    <w:rsid w:val="005802C0"/>
    <w:rsid w:val="00581188"/>
    <w:rsid w:val="005E4A11"/>
    <w:rsid w:val="005F11F7"/>
    <w:rsid w:val="005F1D3E"/>
    <w:rsid w:val="00613F38"/>
    <w:rsid w:val="006152FD"/>
    <w:rsid w:val="00615F86"/>
    <w:rsid w:val="00621ECD"/>
    <w:rsid w:val="006224A2"/>
    <w:rsid w:val="00623A78"/>
    <w:rsid w:val="0063336A"/>
    <w:rsid w:val="00645122"/>
    <w:rsid w:val="00650B4F"/>
    <w:rsid w:val="006517D7"/>
    <w:rsid w:val="00652F6D"/>
    <w:rsid w:val="006541E9"/>
    <w:rsid w:val="0066158D"/>
    <w:rsid w:val="0066188E"/>
    <w:rsid w:val="00671138"/>
    <w:rsid w:val="0068070F"/>
    <w:rsid w:val="006925D8"/>
    <w:rsid w:val="00694A74"/>
    <w:rsid w:val="006A6348"/>
    <w:rsid w:val="006B7164"/>
    <w:rsid w:val="006C11AD"/>
    <w:rsid w:val="006C5621"/>
    <w:rsid w:val="006C5BC8"/>
    <w:rsid w:val="006C7649"/>
    <w:rsid w:val="006C77C8"/>
    <w:rsid w:val="006D2825"/>
    <w:rsid w:val="006D4158"/>
    <w:rsid w:val="007030B9"/>
    <w:rsid w:val="00714179"/>
    <w:rsid w:val="007147C5"/>
    <w:rsid w:val="007224C2"/>
    <w:rsid w:val="00740887"/>
    <w:rsid w:val="00741516"/>
    <w:rsid w:val="00741B30"/>
    <w:rsid w:val="00746D9F"/>
    <w:rsid w:val="00754E2E"/>
    <w:rsid w:val="00756DAE"/>
    <w:rsid w:val="00761064"/>
    <w:rsid w:val="00763B0B"/>
    <w:rsid w:val="007650ED"/>
    <w:rsid w:val="007653F6"/>
    <w:rsid w:val="00771346"/>
    <w:rsid w:val="00773D0E"/>
    <w:rsid w:val="00781C35"/>
    <w:rsid w:val="0079291A"/>
    <w:rsid w:val="007A21CD"/>
    <w:rsid w:val="007A5713"/>
    <w:rsid w:val="007A5CEC"/>
    <w:rsid w:val="007B64D2"/>
    <w:rsid w:val="007D38F4"/>
    <w:rsid w:val="007E311F"/>
    <w:rsid w:val="007E338E"/>
    <w:rsid w:val="007E6BAD"/>
    <w:rsid w:val="0080776D"/>
    <w:rsid w:val="0082149D"/>
    <w:rsid w:val="00833A42"/>
    <w:rsid w:val="00844F4D"/>
    <w:rsid w:val="0084661C"/>
    <w:rsid w:val="008501A7"/>
    <w:rsid w:val="00863EC3"/>
    <w:rsid w:val="0086552A"/>
    <w:rsid w:val="0087350F"/>
    <w:rsid w:val="008807DE"/>
    <w:rsid w:val="008903BD"/>
    <w:rsid w:val="00896C34"/>
    <w:rsid w:val="008A0CF9"/>
    <w:rsid w:val="008B6461"/>
    <w:rsid w:val="008B6765"/>
    <w:rsid w:val="008F0763"/>
    <w:rsid w:val="008F6CC1"/>
    <w:rsid w:val="00905D91"/>
    <w:rsid w:val="00907E41"/>
    <w:rsid w:val="00913732"/>
    <w:rsid w:val="0091548D"/>
    <w:rsid w:val="00915B21"/>
    <w:rsid w:val="00920B5C"/>
    <w:rsid w:val="00932C8D"/>
    <w:rsid w:val="009330F8"/>
    <w:rsid w:val="009452E8"/>
    <w:rsid w:val="009465D4"/>
    <w:rsid w:val="009529F0"/>
    <w:rsid w:val="009741EA"/>
    <w:rsid w:val="00976074"/>
    <w:rsid w:val="009824AB"/>
    <w:rsid w:val="00992F9F"/>
    <w:rsid w:val="009A475F"/>
    <w:rsid w:val="009A6BA1"/>
    <w:rsid w:val="009C1CB1"/>
    <w:rsid w:val="009C354C"/>
    <w:rsid w:val="009C6E0A"/>
    <w:rsid w:val="009D229E"/>
    <w:rsid w:val="009E5666"/>
    <w:rsid w:val="009F418E"/>
    <w:rsid w:val="00A100CF"/>
    <w:rsid w:val="00A11388"/>
    <w:rsid w:val="00A169E1"/>
    <w:rsid w:val="00A30081"/>
    <w:rsid w:val="00A34D1B"/>
    <w:rsid w:val="00A35B41"/>
    <w:rsid w:val="00A44AAD"/>
    <w:rsid w:val="00A552F0"/>
    <w:rsid w:val="00A55652"/>
    <w:rsid w:val="00A90930"/>
    <w:rsid w:val="00A9370D"/>
    <w:rsid w:val="00A93F19"/>
    <w:rsid w:val="00AA3C38"/>
    <w:rsid w:val="00AA41F5"/>
    <w:rsid w:val="00AA46D8"/>
    <w:rsid w:val="00AB0E8B"/>
    <w:rsid w:val="00AB71DE"/>
    <w:rsid w:val="00AC35E5"/>
    <w:rsid w:val="00AD125C"/>
    <w:rsid w:val="00AD1C7C"/>
    <w:rsid w:val="00AD6D7E"/>
    <w:rsid w:val="00AE232E"/>
    <w:rsid w:val="00AE4778"/>
    <w:rsid w:val="00B07571"/>
    <w:rsid w:val="00B07D07"/>
    <w:rsid w:val="00B100EA"/>
    <w:rsid w:val="00B16982"/>
    <w:rsid w:val="00B267D3"/>
    <w:rsid w:val="00B30234"/>
    <w:rsid w:val="00B305F2"/>
    <w:rsid w:val="00B36462"/>
    <w:rsid w:val="00B37773"/>
    <w:rsid w:val="00B47B41"/>
    <w:rsid w:val="00B60E3E"/>
    <w:rsid w:val="00B61E4B"/>
    <w:rsid w:val="00B63E90"/>
    <w:rsid w:val="00B66B7D"/>
    <w:rsid w:val="00B674C6"/>
    <w:rsid w:val="00B7032E"/>
    <w:rsid w:val="00B731C4"/>
    <w:rsid w:val="00B73F18"/>
    <w:rsid w:val="00B75871"/>
    <w:rsid w:val="00B76A4C"/>
    <w:rsid w:val="00B83FE2"/>
    <w:rsid w:val="00B8512B"/>
    <w:rsid w:val="00B9796F"/>
    <w:rsid w:val="00BA09DF"/>
    <w:rsid w:val="00BB5E04"/>
    <w:rsid w:val="00BC72B7"/>
    <w:rsid w:val="00BD28F4"/>
    <w:rsid w:val="00BE006C"/>
    <w:rsid w:val="00BF0FD5"/>
    <w:rsid w:val="00BF300C"/>
    <w:rsid w:val="00C05E9E"/>
    <w:rsid w:val="00C06A2A"/>
    <w:rsid w:val="00C109D5"/>
    <w:rsid w:val="00C576DB"/>
    <w:rsid w:val="00C60505"/>
    <w:rsid w:val="00C6233A"/>
    <w:rsid w:val="00C64A41"/>
    <w:rsid w:val="00C64A44"/>
    <w:rsid w:val="00C71773"/>
    <w:rsid w:val="00C71D9A"/>
    <w:rsid w:val="00C72E74"/>
    <w:rsid w:val="00C73E36"/>
    <w:rsid w:val="00C745FA"/>
    <w:rsid w:val="00C75464"/>
    <w:rsid w:val="00C767BA"/>
    <w:rsid w:val="00C770B6"/>
    <w:rsid w:val="00C83A28"/>
    <w:rsid w:val="00C87B3D"/>
    <w:rsid w:val="00C96C82"/>
    <w:rsid w:val="00CB41D9"/>
    <w:rsid w:val="00CB4C6D"/>
    <w:rsid w:val="00CD01AE"/>
    <w:rsid w:val="00CD0F1C"/>
    <w:rsid w:val="00CD66A6"/>
    <w:rsid w:val="00CE69B4"/>
    <w:rsid w:val="00CF1B15"/>
    <w:rsid w:val="00CF50A9"/>
    <w:rsid w:val="00D00934"/>
    <w:rsid w:val="00D129EE"/>
    <w:rsid w:val="00D25C2E"/>
    <w:rsid w:val="00D33156"/>
    <w:rsid w:val="00D341A7"/>
    <w:rsid w:val="00D4036E"/>
    <w:rsid w:val="00D4485D"/>
    <w:rsid w:val="00D4667F"/>
    <w:rsid w:val="00D63596"/>
    <w:rsid w:val="00D75D3A"/>
    <w:rsid w:val="00D77936"/>
    <w:rsid w:val="00D85F51"/>
    <w:rsid w:val="00D91824"/>
    <w:rsid w:val="00DB172A"/>
    <w:rsid w:val="00DB1C6B"/>
    <w:rsid w:val="00DB4F19"/>
    <w:rsid w:val="00DB5F55"/>
    <w:rsid w:val="00DC5E94"/>
    <w:rsid w:val="00DC7BE8"/>
    <w:rsid w:val="00DD07C3"/>
    <w:rsid w:val="00DE7CB3"/>
    <w:rsid w:val="00DF1782"/>
    <w:rsid w:val="00DF2B39"/>
    <w:rsid w:val="00DF41A1"/>
    <w:rsid w:val="00DF639E"/>
    <w:rsid w:val="00E05352"/>
    <w:rsid w:val="00E22D09"/>
    <w:rsid w:val="00E25B75"/>
    <w:rsid w:val="00E260A7"/>
    <w:rsid w:val="00E318D9"/>
    <w:rsid w:val="00E31E33"/>
    <w:rsid w:val="00E57477"/>
    <w:rsid w:val="00E73E4F"/>
    <w:rsid w:val="00E755DE"/>
    <w:rsid w:val="00E8180E"/>
    <w:rsid w:val="00E82A4F"/>
    <w:rsid w:val="00E93CE9"/>
    <w:rsid w:val="00EB2EB1"/>
    <w:rsid w:val="00EB4735"/>
    <w:rsid w:val="00EB6A13"/>
    <w:rsid w:val="00ED2ABB"/>
    <w:rsid w:val="00EE719E"/>
    <w:rsid w:val="00EE7734"/>
    <w:rsid w:val="00EE7FF1"/>
    <w:rsid w:val="00EF4331"/>
    <w:rsid w:val="00EF4DCB"/>
    <w:rsid w:val="00EF7BFB"/>
    <w:rsid w:val="00F06151"/>
    <w:rsid w:val="00F13A1C"/>
    <w:rsid w:val="00F21D49"/>
    <w:rsid w:val="00F257BB"/>
    <w:rsid w:val="00F34251"/>
    <w:rsid w:val="00F347EF"/>
    <w:rsid w:val="00F45F9F"/>
    <w:rsid w:val="00F51F25"/>
    <w:rsid w:val="00F55659"/>
    <w:rsid w:val="00F6241F"/>
    <w:rsid w:val="00F657E9"/>
    <w:rsid w:val="00F8106A"/>
    <w:rsid w:val="00F82875"/>
    <w:rsid w:val="00F86AD9"/>
    <w:rsid w:val="00F86B43"/>
    <w:rsid w:val="00F9158C"/>
    <w:rsid w:val="00F979BA"/>
    <w:rsid w:val="00FA00F7"/>
    <w:rsid w:val="00FA0AD5"/>
    <w:rsid w:val="00FA6EC8"/>
    <w:rsid w:val="00FA7A0A"/>
    <w:rsid w:val="00FB4709"/>
    <w:rsid w:val="00FB7448"/>
    <w:rsid w:val="00FE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7884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4E2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D7E5B"/>
    <w:rPr>
      <w:sz w:val="18"/>
      <w:szCs w:val="18"/>
    </w:rPr>
  </w:style>
  <w:style w:type="paragraph" w:styleId="CommentText">
    <w:name w:val="annotation text"/>
    <w:basedOn w:val="Normal"/>
    <w:link w:val="CommentTextChar"/>
    <w:uiPriority w:val="99"/>
    <w:semiHidden/>
    <w:unhideWhenUsed/>
    <w:rsid w:val="002D7E5B"/>
  </w:style>
  <w:style w:type="character" w:customStyle="1" w:styleId="CommentTextChar">
    <w:name w:val="Comment Text Char"/>
    <w:basedOn w:val="DefaultParagraphFont"/>
    <w:link w:val="CommentText"/>
    <w:uiPriority w:val="99"/>
    <w:semiHidden/>
    <w:rsid w:val="002D7E5B"/>
  </w:style>
  <w:style w:type="paragraph" w:styleId="CommentSubject">
    <w:name w:val="annotation subject"/>
    <w:basedOn w:val="CommentText"/>
    <w:next w:val="CommentText"/>
    <w:link w:val="CommentSubjectChar"/>
    <w:uiPriority w:val="99"/>
    <w:semiHidden/>
    <w:unhideWhenUsed/>
    <w:rsid w:val="002D7E5B"/>
    <w:rPr>
      <w:b/>
      <w:bCs/>
      <w:sz w:val="20"/>
      <w:szCs w:val="20"/>
    </w:rPr>
  </w:style>
  <w:style w:type="character" w:customStyle="1" w:styleId="CommentSubjectChar">
    <w:name w:val="Comment Subject Char"/>
    <w:basedOn w:val="CommentTextChar"/>
    <w:link w:val="CommentSubject"/>
    <w:uiPriority w:val="99"/>
    <w:semiHidden/>
    <w:rsid w:val="002D7E5B"/>
    <w:rPr>
      <w:b/>
      <w:bCs/>
      <w:sz w:val="20"/>
      <w:szCs w:val="20"/>
    </w:rPr>
  </w:style>
  <w:style w:type="paragraph" w:styleId="BalloonText">
    <w:name w:val="Balloon Text"/>
    <w:basedOn w:val="Normal"/>
    <w:link w:val="BalloonTextChar"/>
    <w:uiPriority w:val="99"/>
    <w:semiHidden/>
    <w:unhideWhenUsed/>
    <w:rsid w:val="002D7E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7E5B"/>
    <w:rPr>
      <w:rFonts w:ascii="Lucida Grande" w:hAnsi="Lucida Grande" w:cs="Lucida Grande"/>
      <w:sz w:val="18"/>
      <w:szCs w:val="18"/>
    </w:rPr>
  </w:style>
  <w:style w:type="paragraph" w:styleId="ListParagraph">
    <w:name w:val="List Paragraph"/>
    <w:basedOn w:val="Normal"/>
    <w:uiPriority w:val="34"/>
    <w:qFormat/>
    <w:rsid w:val="002240A1"/>
    <w:pPr>
      <w:ind w:left="720"/>
      <w:contextualSpacing/>
    </w:pPr>
  </w:style>
  <w:style w:type="paragraph" w:styleId="TOC1">
    <w:name w:val="toc 1"/>
    <w:basedOn w:val="Normal"/>
    <w:next w:val="Normal"/>
    <w:autoRedefine/>
    <w:uiPriority w:val="39"/>
    <w:unhideWhenUsed/>
    <w:rsid w:val="006925D8"/>
    <w:pPr>
      <w:spacing w:before="120"/>
    </w:pPr>
    <w:rPr>
      <w:b/>
    </w:rPr>
  </w:style>
  <w:style w:type="character" w:customStyle="1" w:styleId="Heading1Char">
    <w:name w:val="Heading 1 Char"/>
    <w:basedOn w:val="DefaultParagraphFont"/>
    <w:link w:val="Heading1"/>
    <w:uiPriority w:val="9"/>
    <w:rsid w:val="00754E2E"/>
    <w:rPr>
      <w:rFonts w:asciiTheme="majorHAnsi" w:eastAsiaTheme="majorEastAsia" w:hAnsiTheme="majorHAnsi" w:cstheme="majorBidi"/>
      <w:b/>
      <w:bCs/>
      <w:color w:val="345A8A" w:themeColor="accent1" w:themeShade="B5"/>
      <w:sz w:val="32"/>
      <w:szCs w:val="32"/>
    </w:rPr>
  </w:style>
  <w:style w:type="paragraph" w:styleId="TOC2">
    <w:name w:val="toc 2"/>
    <w:basedOn w:val="Normal"/>
    <w:next w:val="Normal"/>
    <w:autoRedefine/>
    <w:uiPriority w:val="39"/>
    <w:unhideWhenUsed/>
    <w:rsid w:val="007030B9"/>
    <w:pPr>
      <w:ind w:left="240"/>
    </w:pPr>
    <w:rPr>
      <w:b/>
      <w:sz w:val="22"/>
      <w:szCs w:val="22"/>
    </w:rPr>
  </w:style>
  <w:style w:type="paragraph" w:styleId="TOC3">
    <w:name w:val="toc 3"/>
    <w:basedOn w:val="Normal"/>
    <w:next w:val="Normal"/>
    <w:autoRedefine/>
    <w:uiPriority w:val="39"/>
    <w:unhideWhenUsed/>
    <w:rsid w:val="007030B9"/>
    <w:pPr>
      <w:ind w:left="480"/>
    </w:pPr>
    <w:rPr>
      <w:sz w:val="22"/>
      <w:szCs w:val="22"/>
    </w:rPr>
  </w:style>
  <w:style w:type="paragraph" w:styleId="TOC4">
    <w:name w:val="toc 4"/>
    <w:basedOn w:val="Normal"/>
    <w:next w:val="Normal"/>
    <w:autoRedefine/>
    <w:uiPriority w:val="39"/>
    <w:unhideWhenUsed/>
    <w:rsid w:val="007030B9"/>
    <w:pPr>
      <w:ind w:left="720"/>
    </w:pPr>
    <w:rPr>
      <w:sz w:val="20"/>
      <w:szCs w:val="20"/>
    </w:rPr>
  </w:style>
  <w:style w:type="paragraph" w:styleId="TOC5">
    <w:name w:val="toc 5"/>
    <w:basedOn w:val="Normal"/>
    <w:next w:val="Normal"/>
    <w:autoRedefine/>
    <w:uiPriority w:val="39"/>
    <w:unhideWhenUsed/>
    <w:rsid w:val="007030B9"/>
    <w:pPr>
      <w:ind w:left="960"/>
    </w:pPr>
    <w:rPr>
      <w:sz w:val="20"/>
      <w:szCs w:val="20"/>
    </w:rPr>
  </w:style>
  <w:style w:type="paragraph" w:styleId="TOC6">
    <w:name w:val="toc 6"/>
    <w:basedOn w:val="Normal"/>
    <w:next w:val="Normal"/>
    <w:autoRedefine/>
    <w:uiPriority w:val="39"/>
    <w:unhideWhenUsed/>
    <w:rsid w:val="007030B9"/>
    <w:pPr>
      <w:ind w:left="1200"/>
    </w:pPr>
    <w:rPr>
      <w:sz w:val="20"/>
      <w:szCs w:val="20"/>
    </w:rPr>
  </w:style>
  <w:style w:type="paragraph" w:styleId="TOC7">
    <w:name w:val="toc 7"/>
    <w:basedOn w:val="Normal"/>
    <w:next w:val="Normal"/>
    <w:autoRedefine/>
    <w:uiPriority w:val="39"/>
    <w:unhideWhenUsed/>
    <w:rsid w:val="007030B9"/>
    <w:pPr>
      <w:ind w:left="1440"/>
    </w:pPr>
    <w:rPr>
      <w:sz w:val="20"/>
      <w:szCs w:val="20"/>
    </w:rPr>
  </w:style>
  <w:style w:type="paragraph" w:styleId="TOC8">
    <w:name w:val="toc 8"/>
    <w:basedOn w:val="Normal"/>
    <w:next w:val="Normal"/>
    <w:autoRedefine/>
    <w:uiPriority w:val="39"/>
    <w:unhideWhenUsed/>
    <w:rsid w:val="007030B9"/>
    <w:pPr>
      <w:ind w:left="1680"/>
    </w:pPr>
    <w:rPr>
      <w:sz w:val="20"/>
      <w:szCs w:val="20"/>
    </w:rPr>
  </w:style>
  <w:style w:type="paragraph" w:styleId="TOC9">
    <w:name w:val="toc 9"/>
    <w:basedOn w:val="Normal"/>
    <w:next w:val="Normal"/>
    <w:autoRedefine/>
    <w:uiPriority w:val="39"/>
    <w:unhideWhenUsed/>
    <w:rsid w:val="007030B9"/>
    <w:pPr>
      <w:ind w:left="1920"/>
    </w:pPr>
    <w:rPr>
      <w:sz w:val="20"/>
      <w:szCs w:val="20"/>
    </w:rPr>
  </w:style>
  <w:style w:type="paragraph" w:styleId="FootnoteText">
    <w:name w:val="footnote text"/>
    <w:basedOn w:val="Normal"/>
    <w:link w:val="FootnoteTextChar"/>
    <w:uiPriority w:val="99"/>
    <w:unhideWhenUsed/>
    <w:rsid w:val="00AE4778"/>
  </w:style>
  <w:style w:type="character" w:customStyle="1" w:styleId="FootnoteTextChar">
    <w:name w:val="Footnote Text Char"/>
    <w:basedOn w:val="DefaultParagraphFont"/>
    <w:link w:val="FootnoteText"/>
    <w:uiPriority w:val="99"/>
    <w:rsid w:val="00AE4778"/>
  </w:style>
  <w:style w:type="character" w:styleId="FootnoteReference">
    <w:name w:val="footnote reference"/>
    <w:basedOn w:val="DefaultParagraphFont"/>
    <w:uiPriority w:val="99"/>
    <w:unhideWhenUsed/>
    <w:rsid w:val="00AE4778"/>
    <w:rPr>
      <w:vertAlign w:val="superscript"/>
    </w:rPr>
  </w:style>
  <w:style w:type="table" w:styleId="TableGrid">
    <w:name w:val="Table Grid"/>
    <w:basedOn w:val="TableNormal"/>
    <w:uiPriority w:val="59"/>
    <w:rsid w:val="007E31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C64A41"/>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64A41"/>
    <w:rPr>
      <w:i/>
      <w:iCs/>
    </w:rPr>
  </w:style>
  <w:style w:type="character" w:styleId="Hyperlink">
    <w:name w:val="Hyperlink"/>
    <w:basedOn w:val="DefaultParagraphFont"/>
    <w:uiPriority w:val="99"/>
    <w:unhideWhenUsed/>
    <w:rsid w:val="00146F8A"/>
    <w:rPr>
      <w:color w:val="0000FF" w:themeColor="hyperlink"/>
      <w:u w:val="single"/>
    </w:rPr>
  </w:style>
  <w:style w:type="paragraph" w:customStyle="1" w:styleId="Default">
    <w:name w:val="Default"/>
    <w:rsid w:val="00353289"/>
    <w:pPr>
      <w:widowControl w:val="0"/>
      <w:autoSpaceDE w:val="0"/>
      <w:autoSpaceDN w:val="0"/>
      <w:adjustRightInd w:val="0"/>
    </w:pPr>
    <w:rPr>
      <w:rFonts w:ascii="Deja Vu Serif" w:hAnsi="Deja Vu Serif" w:cs="Deja Vu Serif"/>
      <w:color w:val="000000"/>
    </w:rPr>
  </w:style>
  <w:style w:type="paragraph" w:styleId="Footer">
    <w:name w:val="footer"/>
    <w:basedOn w:val="Normal"/>
    <w:link w:val="FooterChar"/>
    <w:uiPriority w:val="99"/>
    <w:unhideWhenUsed/>
    <w:rsid w:val="00DB4F19"/>
    <w:pPr>
      <w:tabs>
        <w:tab w:val="center" w:pos="4320"/>
        <w:tab w:val="right" w:pos="8640"/>
      </w:tabs>
    </w:pPr>
  </w:style>
  <w:style w:type="character" w:customStyle="1" w:styleId="FooterChar">
    <w:name w:val="Footer Char"/>
    <w:basedOn w:val="DefaultParagraphFont"/>
    <w:link w:val="Footer"/>
    <w:uiPriority w:val="99"/>
    <w:rsid w:val="00DB4F19"/>
  </w:style>
  <w:style w:type="character" w:styleId="PageNumber">
    <w:name w:val="page number"/>
    <w:basedOn w:val="DefaultParagraphFont"/>
    <w:uiPriority w:val="99"/>
    <w:semiHidden/>
    <w:unhideWhenUsed/>
    <w:rsid w:val="00DB4F1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4E2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D7E5B"/>
    <w:rPr>
      <w:sz w:val="18"/>
      <w:szCs w:val="18"/>
    </w:rPr>
  </w:style>
  <w:style w:type="paragraph" w:styleId="CommentText">
    <w:name w:val="annotation text"/>
    <w:basedOn w:val="Normal"/>
    <w:link w:val="CommentTextChar"/>
    <w:uiPriority w:val="99"/>
    <w:semiHidden/>
    <w:unhideWhenUsed/>
    <w:rsid w:val="002D7E5B"/>
  </w:style>
  <w:style w:type="character" w:customStyle="1" w:styleId="CommentTextChar">
    <w:name w:val="Comment Text Char"/>
    <w:basedOn w:val="DefaultParagraphFont"/>
    <w:link w:val="CommentText"/>
    <w:uiPriority w:val="99"/>
    <w:semiHidden/>
    <w:rsid w:val="002D7E5B"/>
  </w:style>
  <w:style w:type="paragraph" w:styleId="CommentSubject">
    <w:name w:val="annotation subject"/>
    <w:basedOn w:val="CommentText"/>
    <w:next w:val="CommentText"/>
    <w:link w:val="CommentSubjectChar"/>
    <w:uiPriority w:val="99"/>
    <w:semiHidden/>
    <w:unhideWhenUsed/>
    <w:rsid w:val="002D7E5B"/>
    <w:rPr>
      <w:b/>
      <w:bCs/>
      <w:sz w:val="20"/>
      <w:szCs w:val="20"/>
    </w:rPr>
  </w:style>
  <w:style w:type="character" w:customStyle="1" w:styleId="CommentSubjectChar">
    <w:name w:val="Comment Subject Char"/>
    <w:basedOn w:val="CommentTextChar"/>
    <w:link w:val="CommentSubject"/>
    <w:uiPriority w:val="99"/>
    <w:semiHidden/>
    <w:rsid w:val="002D7E5B"/>
    <w:rPr>
      <w:b/>
      <w:bCs/>
      <w:sz w:val="20"/>
      <w:szCs w:val="20"/>
    </w:rPr>
  </w:style>
  <w:style w:type="paragraph" w:styleId="BalloonText">
    <w:name w:val="Balloon Text"/>
    <w:basedOn w:val="Normal"/>
    <w:link w:val="BalloonTextChar"/>
    <w:uiPriority w:val="99"/>
    <w:semiHidden/>
    <w:unhideWhenUsed/>
    <w:rsid w:val="002D7E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7E5B"/>
    <w:rPr>
      <w:rFonts w:ascii="Lucida Grande" w:hAnsi="Lucida Grande" w:cs="Lucida Grande"/>
      <w:sz w:val="18"/>
      <w:szCs w:val="18"/>
    </w:rPr>
  </w:style>
  <w:style w:type="paragraph" w:styleId="ListParagraph">
    <w:name w:val="List Paragraph"/>
    <w:basedOn w:val="Normal"/>
    <w:uiPriority w:val="34"/>
    <w:qFormat/>
    <w:rsid w:val="002240A1"/>
    <w:pPr>
      <w:ind w:left="720"/>
      <w:contextualSpacing/>
    </w:pPr>
  </w:style>
  <w:style w:type="paragraph" w:styleId="TOC1">
    <w:name w:val="toc 1"/>
    <w:basedOn w:val="Normal"/>
    <w:next w:val="Normal"/>
    <w:autoRedefine/>
    <w:uiPriority w:val="39"/>
    <w:unhideWhenUsed/>
    <w:rsid w:val="006925D8"/>
    <w:pPr>
      <w:spacing w:before="120"/>
    </w:pPr>
    <w:rPr>
      <w:b/>
    </w:rPr>
  </w:style>
  <w:style w:type="character" w:customStyle="1" w:styleId="Heading1Char">
    <w:name w:val="Heading 1 Char"/>
    <w:basedOn w:val="DefaultParagraphFont"/>
    <w:link w:val="Heading1"/>
    <w:uiPriority w:val="9"/>
    <w:rsid w:val="00754E2E"/>
    <w:rPr>
      <w:rFonts w:asciiTheme="majorHAnsi" w:eastAsiaTheme="majorEastAsia" w:hAnsiTheme="majorHAnsi" w:cstheme="majorBidi"/>
      <w:b/>
      <w:bCs/>
      <w:color w:val="345A8A" w:themeColor="accent1" w:themeShade="B5"/>
      <w:sz w:val="32"/>
      <w:szCs w:val="32"/>
    </w:rPr>
  </w:style>
  <w:style w:type="paragraph" w:styleId="TOC2">
    <w:name w:val="toc 2"/>
    <w:basedOn w:val="Normal"/>
    <w:next w:val="Normal"/>
    <w:autoRedefine/>
    <w:uiPriority w:val="39"/>
    <w:unhideWhenUsed/>
    <w:rsid w:val="007030B9"/>
    <w:pPr>
      <w:ind w:left="240"/>
    </w:pPr>
    <w:rPr>
      <w:b/>
      <w:sz w:val="22"/>
      <w:szCs w:val="22"/>
    </w:rPr>
  </w:style>
  <w:style w:type="paragraph" w:styleId="TOC3">
    <w:name w:val="toc 3"/>
    <w:basedOn w:val="Normal"/>
    <w:next w:val="Normal"/>
    <w:autoRedefine/>
    <w:uiPriority w:val="39"/>
    <w:unhideWhenUsed/>
    <w:rsid w:val="007030B9"/>
    <w:pPr>
      <w:ind w:left="480"/>
    </w:pPr>
    <w:rPr>
      <w:sz w:val="22"/>
      <w:szCs w:val="22"/>
    </w:rPr>
  </w:style>
  <w:style w:type="paragraph" w:styleId="TOC4">
    <w:name w:val="toc 4"/>
    <w:basedOn w:val="Normal"/>
    <w:next w:val="Normal"/>
    <w:autoRedefine/>
    <w:uiPriority w:val="39"/>
    <w:unhideWhenUsed/>
    <w:rsid w:val="007030B9"/>
    <w:pPr>
      <w:ind w:left="720"/>
    </w:pPr>
    <w:rPr>
      <w:sz w:val="20"/>
      <w:szCs w:val="20"/>
    </w:rPr>
  </w:style>
  <w:style w:type="paragraph" w:styleId="TOC5">
    <w:name w:val="toc 5"/>
    <w:basedOn w:val="Normal"/>
    <w:next w:val="Normal"/>
    <w:autoRedefine/>
    <w:uiPriority w:val="39"/>
    <w:unhideWhenUsed/>
    <w:rsid w:val="007030B9"/>
    <w:pPr>
      <w:ind w:left="960"/>
    </w:pPr>
    <w:rPr>
      <w:sz w:val="20"/>
      <w:szCs w:val="20"/>
    </w:rPr>
  </w:style>
  <w:style w:type="paragraph" w:styleId="TOC6">
    <w:name w:val="toc 6"/>
    <w:basedOn w:val="Normal"/>
    <w:next w:val="Normal"/>
    <w:autoRedefine/>
    <w:uiPriority w:val="39"/>
    <w:unhideWhenUsed/>
    <w:rsid w:val="007030B9"/>
    <w:pPr>
      <w:ind w:left="1200"/>
    </w:pPr>
    <w:rPr>
      <w:sz w:val="20"/>
      <w:szCs w:val="20"/>
    </w:rPr>
  </w:style>
  <w:style w:type="paragraph" w:styleId="TOC7">
    <w:name w:val="toc 7"/>
    <w:basedOn w:val="Normal"/>
    <w:next w:val="Normal"/>
    <w:autoRedefine/>
    <w:uiPriority w:val="39"/>
    <w:unhideWhenUsed/>
    <w:rsid w:val="007030B9"/>
    <w:pPr>
      <w:ind w:left="1440"/>
    </w:pPr>
    <w:rPr>
      <w:sz w:val="20"/>
      <w:szCs w:val="20"/>
    </w:rPr>
  </w:style>
  <w:style w:type="paragraph" w:styleId="TOC8">
    <w:name w:val="toc 8"/>
    <w:basedOn w:val="Normal"/>
    <w:next w:val="Normal"/>
    <w:autoRedefine/>
    <w:uiPriority w:val="39"/>
    <w:unhideWhenUsed/>
    <w:rsid w:val="007030B9"/>
    <w:pPr>
      <w:ind w:left="1680"/>
    </w:pPr>
    <w:rPr>
      <w:sz w:val="20"/>
      <w:szCs w:val="20"/>
    </w:rPr>
  </w:style>
  <w:style w:type="paragraph" w:styleId="TOC9">
    <w:name w:val="toc 9"/>
    <w:basedOn w:val="Normal"/>
    <w:next w:val="Normal"/>
    <w:autoRedefine/>
    <w:uiPriority w:val="39"/>
    <w:unhideWhenUsed/>
    <w:rsid w:val="007030B9"/>
    <w:pPr>
      <w:ind w:left="1920"/>
    </w:pPr>
    <w:rPr>
      <w:sz w:val="20"/>
      <w:szCs w:val="20"/>
    </w:rPr>
  </w:style>
  <w:style w:type="paragraph" w:styleId="FootnoteText">
    <w:name w:val="footnote text"/>
    <w:basedOn w:val="Normal"/>
    <w:link w:val="FootnoteTextChar"/>
    <w:uiPriority w:val="99"/>
    <w:unhideWhenUsed/>
    <w:rsid w:val="00AE4778"/>
  </w:style>
  <w:style w:type="character" w:customStyle="1" w:styleId="FootnoteTextChar">
    <w:name w:val="Footnote Text Char"/>
    <w:basedOn w:val="DefaultParagraphFont"/>
    <w:link w:val="FootnoteText"/>
    <w:uiPriority w:val="99"/>
    <w:rsid w:val="00AE4778"/>
  </w:style>
  <w:style w:type="character" w:styleId="FootnoteReference">
    <w:name w:val="footnote reference"/>
    <w:basedOn w:val="DefaultParagraphFont"/>
    <w:uiPriority w:val="99"/>
    <w:unhideWhenUsed/>
    <w:rsid w:val="00AE4778"/>
    <w:rPr>
      <w:vertAlign w:val="superscript"/>
    </w:rPr>
  </w:style>
  <w:style w:type="table" w:styleId="TableGrid">
    <w:name w:val="Table Grid"/>
    <w:basedOn w:val="TableNormal"/>
    <w:uiPriority w:val="59"/>
    <w:rsid w:val="007E31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C64A41"/>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64A41"/>
    <w:rPr>
      <w:i/>
      <w:iCs/>
    </w:rPr>
  </w:style>
  <w:style w:type="character" w:styleId="Hyperlink">
    <w:name w:val="Hyperlink"/>
    <w:basedOn w:val="DefaultParagraphFont"/>
    <w:uiPriority w:val="99"/>
    <w:unhideWhenUsed/>
    <w:rsid w:val="00146F8A"/>
    <w:rPr>
      <w:color w:val="0000FF" w:themeColor="hyperlink"/>
      <w:u w:val="single"/>
    </w:rPr>
  </w:style>
  <w:style w:type="paragraph" w:customStyle="1" w:styleId="Default">
    <w:name w:val="Default"/>
    <w:rsid w:val="00353289"/>
    <w:pPr>
      <w:widowControl w:val="0"/>
      <w:autoSpaceDE w:val="0"/>
      <w:autoSpaceDN w:val="0"/>
      <w:adjustRightInd w:val="0"/>
    </w:pPr>
    <w:rPr>
      <w:rFonts w:ascii="Deja Vu Serif" w:hAnsi="Deja Vu Serif" w:cs="Deja Vu Serif"/>
      <w:color w:val="000000"/>
    </w:rPr>
  </w:style>
  <w:style w:type="paragraph" w:styleId="Footer">
    <w:name w:val="footer"/>
    <w:basedOn w:val="Normal"/>
    <w:link w:val="FooterChar"/>
    <w:uiPriority w:val="99"/>
    <w:unhideWhenUsed/>
    <w:rsid w:val="00DB4F19"/>
    <w:pPr>
      <w:tabs>
        <w:tab w:val="center" w:pos="4320"/>
        <w:tab w:val="right" w:pos="8640"/>
      </w:tabs>
    </w:pPr>
  </w:style>
  <w:style w:type="character" w:customStyle="1" w:styleId="FooterChar">
    <w:name w:val="Footer Char"/>
    <w:basedOn w:val="DefaultParagraphFont"/>
    <w:link w:val="Footer"/>
    <w:uiPriority w:val="99"/>
    <w:rsid w:val="00DB4F19"/>
  </w:style>
  <w:style w:type="character" w:styleId="PageNumber">
    <w:name w:val="page number"/>
    <w:basedOn w:val="DefaultParagraphFont"/>
    <w:uiPriority w:val="99"/>
    <w:semiHidden/>
    <w:unhideWhenUsed/>
    <w:rsid w:val="00DB4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9505">
      <w:bodyDiv w:val="1"/>
      <w:marLeft w:val="0"/>
      <w:marRight w:val="0"/>
      <w:marTop w:val="0"/>
      <w:marBottom w:val="0"/>
      <w:divBdr>
        <w:top w:val="none" w:sz="0" w:space="0" w:color="auto"/>
        <w:left w:val="none" w:sz="0" w:space="0" w:color="auto"/>
        <w:bottom w:val="none" w:sz="0" w:space="0" w:color="auto"/>
        <w:right w:val="none" w:sz="0" w:space="0" w:color="auto"/>
      </w:divBdr>
    </w:div>
    <w:div w:id="191116565">
      <w:bodyDiv w:val="1"/>
      <w:marLeft w:val="0"/>
      <w:marRight w:val="0"/>
      <w:marTop w:val="0"/>
      <w:marBottom w:val="0"/>
      <w:divBdr>
        <w:top w:val="none" w:sz="0" w:space="0" w:color="auto"/>
        <w:left w:val="none" w:sz="0" w:space="0" w:color="auto"/>
        <w:bottom w:val="none" w:sz="0" w:space="0" w:color="auto"/>
        <w:right w:val="none" w:sz="0" w:space="0" w:color="auto"/>
      </w:divBdr>
    </w:div>
    <w:div w:id="225382305">
      <w:bodyDiv w:val="1"/>
      <w:marLeft w:val="0"/>
      <w:marRight w:val="0"/>
      <w:marTop w:val="0"/>
      <w:marBottom w:val="0"/>
      <w:divBdr>
        <w:top w:val="none" w:sz="0" w:space="0" w:color="auto"/>
        <w:left w:val="none" w:sz="0" w:space="0" w:color="auto"/>
        <w:bottom w:val="none" w:sz="0" w:space="0" w:color="auto"/>
        <w:right w:val="none" w:sz="0" w:space="0" w:color="auto"/>
      </w:divBdr>
    </w:div>
    <w:div w:id="522330564">
      <w:bodyDiv w:val="1"/>
      <w:marLeft w:val="0"/>
      <w:marRight w:val="0"/>
      <w:marTop w:val="0"/>
      <w:marBottom w:val="0"/>
      <w:divBdr>
        <w:top w:val="none" w:sz="0" w:space="0" w:color="auto"/>
        <w:left w:val="none" w:sz="0" w:space="0" w:color="auto"/>
        <w:bottom w:val="none" w:sz="0" w:space="0" w:color="auto"/>
        <w:right w:val="none" w:sz="0" w:space="0" w:color="auto"/>
      </w:divBdr>
    </w:div>
    <w:div w:id="681321643">
      <w:bodyDiv w:val="1"/>
      <w:marLeft w:val="0"/>
      <w:marRight w:val="0"/>
      <w:marTop w:val="0"/>
      <w:marBottom w:val="0"/>
      <w:divBdr>
        <w:top w:val="none" w:sz="0" w:space="0" w:color="auto"/>
        <w:left w:val="none" w:sz="0" w:space="0" w:color="auto"/>
        <w:bottom w:val="none" w:sz="0" w:space="0" w:color="auto"/>
        <w:right w:val="none" w:sz="0" w:space="0" w:color="auto"/>
      </w:divBdr>
    </w:div>
    <w:div w:id="739325921">
      <w:bodyDiv w:val="1"/>
      <w:marLeft w:val="0"/>
      <w:marRight w:val="0"/>
      <w:marTop w:val="0"/>
      <w:marBottom w:val="0"/>
      <w:divBdr>
        <w:top w:val="none" w:sz="0" w:space="0" w:color="auto"/>
        <w:left w:val="none" w:sz="0" w:space="0" w:color="auto"/>
        <w:bottom w:val="none" w:sz="0" w:space="0" w:color="auto"/>
        <w:right w:val="none" w:sz="0" w:space="0" w:color="auto"/>
      </w:divBdr>
    </w:div>
    <w:div w:id="798450418">
      <w:bodyDiv w:val="1"/>
      <w:marLeft w:val="0"/>
      <w:marRight w:val="0"/>
      <w:marTop w:val="0"/>
      <w:marBottom w:val="0"/>
      <w:divBdr>
        <w:top w:val="none" w:sz="0" w:space="0" w:color="auto"/>
        <w:left w:val="none" w:sz="0" w:space="0" w:color="auto"/>
        <w:bottom w:val="none" w:sz="0" w:space="0" w:color="auto"/>
        <w:right w:val="none" w:sz="0" w:space="0" w:color="auto"/>
      </w:divBdr>
    </w:div>
    <w:div w:id="866672834">
      <w:bodyDiv w:val="1"/>
      <w:marLeft w:val="0"/>
      <w:marRight w:val="0"/>
      <w:marTop w:val="0"/>
      <w:marBottom w:val="0"/>
      <w:divBdr>
        <w:top w:val="none" w:sz="0" w:space="0" w:color="auto"/>
        <w:left w:val="none" w:sz="0" w:space="0" w:color="auto"/>
        <w:bottom w:val="none" w:sz="0" w:space="0" w:color="auto"/>
        <w:right w:val="none" w:sz="0" w:space="0" w:color="auto"/>
      </w:divBdr>
    </w:div>
    <w:div w:id="943805667">
      <w:bodyDiv w:val="1"/>
      <w:marLeft w:val="0"/>
      <w:marRight w:val="0"/>
      <w:marTop w:val="0"/>
      <w:marBottom w:val="0"/>
      <w:divBdr>
        <w:top w:val="none" w:sz="0" w:space="0" w:color="auto"/>
        <w:left w:val="none" w:sz="0" w:space="0" w:color="auto"/>
        <w:bottom w:val="none" w:sz="0" w:space="0" w:color="auto"/>
        <w:right w:val="none" w:sz="0" w:space="0" w:color="auto"/>
      </w:divBdr>
      <w:divsChild>
        <w:div w:id="1368992068">
          <w:marLeft w:val="446"/>
          <w:marRight w:val="0"/>
          <w:marTop w:val="0"/>
          <w:marBottom w:val="120"/>
          <w:divBdr>
            <w:top w:val="none" w:sz="0" w:space="0" w:color="auto"/>
            <w:left w:val="none" w:sz="0" w:space="0" w:color="auto"/>
            <w:bottom w:val="none" w:sz="0" w:space="0" w:color="auto"/>
            <w:right w:val="none" w:sz="0" w:space="0" w:color="auto"/>
          </w:divBdr>
        </w:div>
      </w:divsChild>
    </w:div>
    <w:div w:id="948512487">
      <w:bodyDiv w:val="1"/>
      <w:marLeft w:val="0"/>
      <w:marRight w:val="0"/>
      <w:marTop w:val="0"/>
      <w:marBottom w:val="0"/>
      <w:divBdr>
        <w:top w:val="none" w:sz="0" w:space="0" w:color="auto"/>
        <w:left w:val="none" w:sz="0" w:space="0" w:color="auto"/>
        <w:bottom w:val="none" w:sz="0" w:space="0" w:color="auto"/>
        <w:right w:val="none" w:sz="0" w:space="0" w:color="auto"/>
      </w:divBdr>
      <w:divsChild>
        <w:div w:id="1616668904">
          <w:marLeft w:val="446"/>
          <w:marRight w:val="0"/>
          <w:marTop w:val="120"/>
          <w:marBottom w:val="120"/>
          <w:divBdr>
            <w:top w:val="none" w:sz="0" w:space="0" w:color="auto"/>
            <w:left w:val="none" w:sz="0" w:space="0" w:color="auto"/>
            <w:bottom w:val="none" w:sz="0" w:space="0" w:color="auto"/>
            <w:right w:val="none" w:sz="0" w:space="0" w:color="auto"/>
          </w:divBdr>
        </w:div>
        <w:div w:id="177037760">
          <w:marLeft w:val="446"/>
          <w:marRight w:val="0"/>
          <w:marTop w:val="120"/>
          <w:marBottom w:val="120"/>
          <w:divBdr>
            <w:top w:val="none" w:sz="0" w:space="0" w:color="auto"/>
            <w:left w:val="none" w:sz="0" w:space="0" w:color="auto"/>
            <w:bottom w:val="none" w:sz="0" w:space="0" w:color="auto"/>
            <w:right w:val="none" w:sz="0" w:space="0" w:color="auto"/>
          </w:divBdr>
        </w:div>
      </w:divsChild>
    </w:div>
    <w:div w:id="963727701">
      <w:bodyDiv w:val="1"/>
      <w:marLeft w:val="0"/>
      <w:marRight w:val="0"/>
      <w:marTop w:val="0"/>
      <w:marBottom w:val="0"/>
      <w:divBdr>
        <w:top w:val="none" w:sz="0" w:space="0" w:color="auto"/>
        <w:left w:val="none" w:sz="0" w:space="0" w:color="auto"/>
        <w:bottom w:val="none" w:sz="0" w:space="0" w:color="auto"/>
        <w:right w:val="none" w:sz="0" w:space="0" w:color="auto"/>
      </w:divBdr>
    </w:div>
    <w:div w:id="1393969900">
      <w:bodyDiv w:val="1"/>
      <w:marLeft w:val="0"/>
      <w:marRight w:val="0"/>
      <w:marTop w:val="0"/>
      <w:marBottom w:val="0"/>
      <w:divBdr>
        <w:top w:val="none" w:sz="0" w:space="0" w:color="auto"/>
        <w:left w:val="none" w:sz="0" w:space="0" w:color="auto"/>
        <w:bottom w:val="none" w:sz="0" w:space="0" w:color="auto"/>
        <w:right w:val="none" w:sz="0" w:space="0" w:color="auto"/>
      </w:divBdr>
    </w:div>
    <w:div w:id="1505894679">
      <w:bodyDiv w:val="1"/>
      <w:marLeft w:val="0"/>
      <w:marRight w:val="0"/>
      <w:marTop w:val="0"/>
      <w:marBottom w:val="0"/>
      <w:divBdr>
        <w:top w:val="none" w:sz="0" w:space="0" w:color="auto"/>
        <w:left w:val="none" w:sz="0" w:space="0" w:color="auto"/>
        <w:bottom w:val="none" w:sz="0" w:space="0" w:color="auto"/>
        <w:right w:val="none" w:sz="0" w:space="0" w:color="auto"/>
      </w:divBdr>
      <w:divsChild>
        <w:div w:id="397823230">
          <w:marLeft w:val="1210"/>
          <w:marRight w:val="0"/>
          <w:marTop w:val="0"/>
          <w:marBottom w:val="120"/>
          <w:divBdr>
            <w:top w:val="none" w:sz="0" w:space="0" w:color="auto"/>
            <w:left w:val="none" w:sz="0" w:space="0" w:color="auto"/>
            <w:bottom w:val="none" w:sz="0" w:space="0" w:color="auto"/>
            <w:right w:val="none" w:sz="0" w:space="0" w:color="auto"/>
          </w:divBdr>
        </w:div>
      </w:divsChild>
    </w:div>
    <w:div w:id="1598752378">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9484686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ps.gov.uk/legal-guidance/homicide-murder-and-manslaughter" TargetMode="External"/><Relationship Id="rId12" Type="http://schemas.openxmlformats.org/officeDocument/2006/relationships/hyperlink" Target="https://doi.org/10.1177%2F0888325420953485"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cps.gov.uk/publication/code-crown-prosecutor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ictionary.cambridge.org/dictionary/english/mastermi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BE909-247D-AD45-AA51-71FE3221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14</Pages>
  <Words>4003</Words>
  <Characters>24902</Characters>
  <Application>Microsoft Macintosh Word</Application>
  <DocSecurity>0</DocSecurity>
  <Lines>401</Lines>
  <Paragraphs>85</Paragraphs>
  <ScaleCrop>false</ScaleCrop>
  <Company/>
  <LinksUpToDate>false</LinksUpToDate>
  <CharactersWithSpaces>28820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343</cp:revision>
  <dcterms:created xsi:type="dcterms:W3CDTF">2020-05-23T09:55:00Z</dcterms:created>
  <dcterms:modified xsi:type="dcterms:W3CDTF">2021-04-27T11:08:00Z</dcterms:modified>
</cp:coreProperties>
</file>